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B2B03" w14:textId="6E700088" w:rsidR="00954AE8" w:rsidRDefault="00954AE8" w:rsidP="00954AE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Procurement Standards and Methods</w:t>
      </w:r>
    </w:p>
    <w:p w14:paraId="59D15E16" w14:textId="5013556C" w:rsidR="00954AE8" w:rsidRDefault="00954AE8" w:rsidP="00954AE8">
      <w:pPr>
        <w:jc w:val="center"/>
        <w:rPr>
          <w:b/>
          <w:bCs/>
          <w:sz w:val="24"/>
          <w:szCs w:val="24"/>
        </w:rPr>
      </w:pPr>
    </w:p>
    <w:p w14:paraId="123195D8" w14:textId="77777777" w:rsidR="00006913" w:rsidRDefault="00006913" w:rsidP="00954AE8">
      <w:pPr>
        <w:rPr>
          <w:sz w:val="24"/>
          <w:szCs w:val="24"/>
        </w:rPr>
      </w:pPr>
      <w:r w:rsidRPr="00006913">
        <w:rPr>
          <w:sz w:val="24"/>
          <w:szCs w:val="24"/>
        </w:rPr>
        <w:t xml:space="preserve">This module reviews the requirements for procuring goods and services using Federal grant funds in a manner that promotes full and open competition. This includes highlighting the distinction between a subaward and a contract, understanding the domestic preferences for procurements, general procurement standards, and procurement methods. </w:t>
      </w:r>
    </w:p>
    <w:p w14:paraId="10C0EB80" w14:textId="6E537161" w:rsidR="00954AE8" w:rsidRPr="00954AE8" w:rsidRDefault="00954AE8" w:rsidP="00954AE8">
      <w:pPr>
        <w:rPr>
          <w:sz w:val="24"/>
          <w:szCs w:val="24"/>
        </w:rPr>
      </w:pPr>
      <w:r w:rsidRPr="00954AE8">
        <w:rPr>
          <w:i/>
          <w:iCs/>
          <w:sz w:val="24"/>
          <w:szCs w:val="24"/>
        </w:rPr>
        <w:t>Intended Audience: All direct formula and discretionary award recipients.</w:t>
      </w:r>
    </w:p>
    <w:sectPr w:rsidR="00954AE8" w:rsidRPr="00954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E8"/>
    <w:rsid w:val="00006913"/>
    <w:rsid w:val="0095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07AE"/>
  <w15:chartTrackingRefBased/>
  <w15:docId w15:val="{C1C8EB0C-C442-4793-A890-CF0A1CE0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U.S. Department of Labor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2</cp:revision>
  <dcterms:created xsi:type="dcterms:W3CDTF">2023-03-21T12:46:00Z</dcterms:created>
  <dcterms:modified xsi:type="dcterms:W3CDTF">2023-05-23T18:09:00Z</dcterms:modified>
</cp:coreProperties>
</file>