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303A5" w14:textId="77777777" w:rsidR="00103CDC" w:rsidRDefault="00103CDC" w:rsidP="00E5715D">
      <w:pPr>
        <w:jc w:val="center"/>
        <w:rPr>
          <w:b/>
          <w:bCs/>
          <w:sz w:val="24"/>
          <w:szCs w:val="24"/>
        </w:rPr>
      </w:pPr>
      <w:r>
        <w:rPr>
          <w:b/>
          <w:bCs/>
          <w:sz w:val="24"/>
          <w:szCs w:val="24"/>
        </w:rPr>
        <w:t>Advanced Cost Allocation: Cost Allocation Plans,</w:t>
      </w:r>
    </w:p>
    <w:p w14:paraId="3EB36333" w14:textId="77C9BDCB" w:rsidR="00E5715D" w:rsidRDefault="00103CDC" w:rsidP="00E5715D">
      <w:pPr>
        <w:jc w:val="center"/>
        <w:rPr>
          <w:b/>
          <w:bCs/>
          <w:sz w:val="24"/>
          <w:szCs w:val="24"/>
        </w:rPr>
      </w:pPr>
      <w:r>
        <w:rPr>
          <w:b/>
          <w:bCs/>
          <w:sz w:val="24"/>
          <w:szCs w:val="24"/>
        </w:rPr>
        <w:t xml:space="preserve"> Indirect Cost Rate Agreements, and De Minimis</w:t>
      </w:r>
    </w:p>
    <w:p w14:paraId="2F3C892D" w14:textId="40674CA1" w:rsidR="00E5715D" w:rsidRDefault="00E5715D" w:rsidP="00E5715D">
      <w:pPr>
        <w:jc w:val="center"/>
        <w:rPr>
          <w:b/>
          <w:bCs/>
          <w:sz w:val="24"/>
          <w:szCs w:val="24"/>
        </w:rPr>
      </w:pPr>
    </w:p>
    <w:p w14:paraId="0E175431" w14:textId="77777777" w:rsidR="00FB592A" w:rsidRPr="00FB592A" w:rsidRDefault="00FB592A" w:rsidP="00FB592A">
      <w:pPr>
        <w:rPr>
          <w:sz w:val="24"/>
          <w:szCs w:val="24"/>
        </w:rPr>
      </w:pPr>
      <w:r w:rsidRPr="00FB592A">
        <w:rPr>
          <w:sz w:val="24"/>
          <w:szCs w:val="24"/>
        </w:rPr>
        <w:t xml:space="preserve">This presentation reviews the methodologies to allocate costs: Cost Allocation Plans (CAPs), Negotiated Indirect Cost Rates and Agreements (NICRA), and De Minimis rates. Examples and definitions of these different methodologies are given, along with the minimum requirements necessary to utilize these methods. </w:t>
      </w:r>
    </w:p>
    <w:p w14:paraId="55F388B0" w14:textId="30059785" w:rsidR="00E5715D" w:rsidRPr="00FB592A" w:rsidRDefault="00FB592A" w:rsidP="00FB592A">
      <w:pPr>
        <w:rPr>
          <w:i/>
          <w:iCs/>
          <w:sz w:val="24"/>
          <w:szCs w:val="24"/>
        </w:rPr>
      </w:pPr>
      <w:r w:rsidRPr="00FB592A">
        <w:rPr>
          <w:i/>
          <w:iCs/>
          <w:sz w:val="24"/>
          <w:szCs w:val="24"/>
        </w:rPr>
        <w:t>Intended Audience: All direct formula and discretionary award recipients.</w:t>
      </w:r>
    </w:p>
    <w:sectPr w:rsidR="00E5715D" w:rsidRPr="00FB59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15D"/>
    <w:rsid w:val="000B1B8B"/>
    <w:rsid w:val="00103CDC"/>
    <w:rsid w:val="001A556E"/>
    <w:rsid w:val="0022254D"/>
    <w:rsid w:val="002906BC"/>
    <w:rsid w:val="003518B9"/>
    <w:rsid w:val="004405D8"/>
    <w:rsid w:val="005600C4"/>
    <w:rsid w:val="00B37BD1"/>
    <w:rsid w:val="00B65B8A"/>
    <w:rsid w:val="00C15A28"/>
    <w:rsid w:val="00DB682D"/>
    <w:rsid w:val="00E5715D"/>
    <w:rsid w:val="00FB59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3FAFC"/>
  <w15:chartTrackingRefBased/>
  <w15:docId w15:val="{BB699C2D-73D0-42D3-B4A6-EF8B4CFEE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72</Words>
  <Characters>411</Characters>
  <Application>Microsoft Office Word</Application>
  <DocSecurity>0</DocSecurity>
  <Lines>3</Lines>
  <Paragraphs>1</Paragraphs>
  <ScaleCrop>false</ScaleCrop>
  <Company>U.S. Department of Labor</Company>
  <LinksUpToDate>false</LinksUpToDate>
  <CharactersWithSpaces>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Recker, Kaylar M - ETA</dc:creator>
  <cp:keywords/>
  <dc:description/>
  <cp:lastModifiedBy>Recker, Kaylar M - ETA</cp:lastModifiedBy>
  <cp:revision>4</cp:revision>
  <dcterms:created xsi:type="dcterms:W3CDTF">2023-07-18T14:35:00Z</dcterms:created>
  <dcterms:modified xsi:type="dcterms:W3CDTF">2023-07-18T14:36:00Z</dcterms:modified>
</cp:coreProperties>
</file>