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3D07" w14:textId="66A08F72" w:rsidR="000003D4" w:rsidRPr="00E40A10" w:rsidRDefault="005A7D10" w:rsidP="006B1992">
      <w:pPr>
        <w:pStyle w:val="Heading1"/>
        <w:spacing w:after="0"/>
      </w:pPr>
      <w:r w:rsidRPr="005A7D10">
        <w:t>2023 Wagner-Peyser Act Staffing Final Rule</w:t>
      </w:r>
    </w:p>
    <w:p w14:paraId="79180677" w14:textId="7FD7CC56" w:rsidR="002E57D5" w:rsidRPr="002E57D5" w:rsidRDefault="005C42F6" w:rsidP="007C21E2">
      <w:pPr>
        <w:pStyle w:val="Heading2"/>
      </w:pPr>
      <w:r w:rsidRPr="005C42F6">
        <w:t>Webcast Transcript</w:t>
      </w:r>
    </w:p>
    <w:p w14:paraId="4C341FCA" w14:textId="52823EA2" w:rsidR="00AA322E" w:rsidRPr="00AA322E" w:rsidRDefault="00AA322E" w:rsidP="00AA322E">
      <w:pPr>
        <w:rPr>
          <w:b/>
          <w:bCs/>
        </w:rPr>
      </w:pPr>
      <w:r w:rsidRPr="781F3F70">
        <w:rPr>
          <w:b/>
          <w:bCs/>
        </w:rPr>
        <w:t xml:space="preserve">Slide 1: </w:t>
      </w:r>
      <w:r>
        <w:t>Hello, thank you for joining us to review the 2023 Wagner-Peyser Act Staffing Final Rule.</w:t>
      </w:r>
    </w:p>
    <w:p w14:paraId="534B1DCE" w14:textId="39B3DA42" w:rsidR="00AA322E" w:rsidRPr="00AA322E" w:rsidRDefault="00AA322E" w:rsidP="00AA322E">
      <w:pPr>
        <w:rPr>
          <w:b/>
          <w:bCs/>
        </w:rPr>
      </w:pPr>
      <w:r w:rsidRPr="781F3F70">
        <w:rPr>
          <w:b/>
          <w:bCs/>
        </w:rPr>
        <w:t xml:space="preserve">Slide 2: </w:t>
      </w:r>
      <w:r>
        <w:t xml:space="preserve">I am Heather Fleck, Unit Chief for Adult Services in the Employment and Training Administration’s Office of Workforce Investment. Presenting with me is Timmy Dudley, a Workforce Analyst with the National Monitor Advocate team. </w:t>
      </w:r>
    </w:p>
    <w:p w14:paraId="780E353C" w14:textId="6B1AB82A" w:rsidR="00AA322E" w:rsidRPr="00AA322E" w:rsidRDefault="00AA322E" w:rsidP="00AA322E">
      <w:pPr>
        <w:rPr>
          <w:b/>
          <w:bCs/>
        </w:rPr>
      </w:pPr>
      <w:r w:rsidRPr="781F3F70">
        <w:rPr>
          <w:b/>
          <w:bCs/>
        </w:rPr>
        <w:t>Slide 3:</w:t>
      </w:r>
      <w:r>
        <w:t xml:space="preserve"> During this presentation, we will highlight some of the changes described in the 2023 Wagner-Peyser Act Staffing Final Rule as well as provide initial guidance to states regarding the impact of the final rule on Workforce Innovation and Opportunity Act (WIOA) Unified or Combined State Plan submissions for 2024 and 2026.  The changes that we will highlight are not a complete list of all the changes in the final rule, so we encourage you to read the final rule in its entirety to more fully understand it. </w:t>
      </w:r>
    </w:p>
    <w:p w14:paraId="02206814" w14:textId="593AF865" w:rsidR="00AA322E" w:rsidRDefault="00AA322E" w:rsidP="001B79E9">
      <w:pPr>
        <w:pStyle w:val="Default"/>
        <w:rPr>
          <w:rFonts w:ascii="Calibri" w:eastAsia="Calibri" w:hAnsi="Calibri" w:cs="Calibri"/>
          <w:color w:val="auto"/>
          <w:sz w:val="22"/>
          <w:szCs w:val="22"/>
        </w:rPr>
      </w:pPr>
      <w:r w:rsidRPr="781F3F70">
        <w:rPr>
          <w:rFonts w:ascii="Calibri" w:eastAsia="Calibri" w:hAnsi="Calibri" w:cs="Calibri"/>
          <w:sz w:val="22"/>
          <w:szCs w:val="22"/>
        </w:rPr>
        <w:t xml:space="preserve">As a quick intro or refresher for those that may be newer to implementing the Wagner-Peyser Act in their state, the Wagner-Peyser Act of 1933 established the Employment Service, </w:t>
      </w:r>
      <w:r>
        <w:rPr>
          <w:rFonts w:ascii="Calibri" w:eastAsia="Calibri" w:hAnsi="Calibri" w:cs="Calibri"/>
          <w:sz w:val="22"/>
          <w:szCs w:val="22"/>
        </w:rPr>
        <w:t xml:space="preserve">which is </w:t>
      </w:r>
      <w:r w:rsidRPr="781F3F70">
        <w:rPr>
          <w:rFonts w:ascii="Calibri" w:eastAsia="Calibri" w:hAnsi="Calibri" w:cs="Calibri"/>
          <w:sz w:val="22"/>
          <w:szCs w:val="22"/>
        </w:rPr>
        <w:t>a nationwide system of public employment offices that provide public l</w:t>
      </w:r>
      <w:r w:rsidRPr="781F3F70">
        <w:rPr>
          <w:rFonts w:ascii="Calibri" w:eastAsia="Calibri" w:hAnsi="Calibri" w:cs="Calibri"/>
          <w:color w:val="auto"/>
          <w:sz w:val="22"/>
          <w:szCs w:val="22"/>
        </w:rPr>
        <w:t xml:space="preserve">abor-exchange services. The Employment Service program seeks to improve the functioning of the nation’s labor markets by matching job seekers with employers that are seeking workers. </w:t>
      </w:r>
    </w:p>
    <w:p w14:paraId="3ED2F7A7" w14:textId="77777777" w:rsidR="001B79E9" w:rsidRPr="001B79E9" w:rsidRDefault="001B79E9" w:rsidP="001B79E9">
      <w:pPr>
        <w:pStyle w:val="Default"/>
        <w:rPr>
          <w:rFonts w:ascii="Calibri" w:eastAsia="Calibri" w:hAnsi="Calibri" w:cs="Calibri"/>
          <w:color w:val="auto"/>
          <w:sz w:val="22"/>
          <w:szCs w:val="22"/>
        </w:rPr>
      </w:pPr>
    </w:p>
    <w:p w14:paraId="7274945D" w14:textId="7A6AC3FB" w:rsidR="00AA322E" w:rsidRPr="00B8479B" w:rsidRDefault="00AA322E" w:rsidP="00AA322E">
      <w:pPr>
        <w:rPr>
          <w:b/>
          <w:bCs/>
        </w:rPr>
      </w:pPr>
      <w:r w:rsidRPr="781F3F70">
        <w:rPr>
          <w:b/>
          <w:bCs/>
        </w:rPr>
        <w:t>Slide 4:</w:t>
      </w:r>
      <w:r w:rsidR="001B79E9">
        <w:rPr>
          <w:b/>
          <w:bCs/>
        </w:rPr>
        <w:t xml:space="preserve"> </w:t>
      </w:r>
      <w:r>
        <w:t xml:space="preserve">The U.S. Department of Labor (which we will </w:t>
      </w:r>
      <w:r w:rsidR="0001189A">
        <w:t xml:space="preserve">sometimes </w:t>
      </w:r>
      <w:r>
        <w:t xml:space="preserve">refer to it as the Department throughout this presentation) published the 2023 Wagner-Peyser Act Staffing Final </w:t>
      </w:r>
      <w:r w:rsidRPr="00A402D0">
        <w:t xml:space="preserve">Rule on </w:t>
      </w:r>
      <w:r w:rsidRPr="00B8479B">
        <w:t>November 24, 2023 in the Federal Register. The link to the rule is available on the slide. This final rule a</w:t>
      </w:r>
      <w:r>
        <w:t>mends regulations at 20 CFR parts 651, 652, 653, and 658. With limited exceptions, the final rule requires states to use state merit staff to provide Employment Services, including services and activities for migrant and seasonal farm workers. The revisions are intended to ensure that State Workforce Agencies</w:t>
      </w:r>
      <w:r w:rsidR="00A30472">
        <w:t>, “</w:t>
      </w:r>
      <w:r>
        <w:t>provide migrant and seasonal farmworkers,” with adequate access to Employment Services and that the role of the State Monitor Advocate, which we will refer to as “SMA,” is effective. Other changes made to the rule include integration of gender-inclusive language and technical corrections to the previously mentioned regulations to improve consistency and to make them easier to understand.</w:t>
      </w:r>
    </w:p>
    <w:p w14:paraId="7D6C9710" w14:textId="77777777" w:rsidR="00AA322E" w:rsidRDefault="00AA322E" w:rsidP="00AA322E">
      <w:r w:rsidRPr="18CD0E04">
        <w:rPr>
          <w:rFonts w:ascii="Calibri" w:eastAsia="Calibri" w:hAnsi="Calibri" w:cs="Calibri"/>
        </w:rPr>
        <w:t xml:space="preserve">This final rule </w:t>
      </w:r>
      <w:r>
        <w:rPr>
          <w:rFonts w:ascii="Calibri" w:eastAsia="Calibri" w:hAnsi="Calibri" w:cs="Calibri"/>
        </w:rPr>
        <w:t>becomes</w:t>
      </w:r>
      <w:r w:rsidRPr="18CD0E04">
        <w:rPr>
          <w:rFonts w:ascii="Calibri" w:eastAsia="Calibri" w:hAnsi="Calibri" w:cs="Calibri"/>
        </w:rPr>
        <w:t xml:space="preserve"> effective on January 23, 2024. All States have 24 months from the effective date to comply with the requirements of this final rule</w:t>
      </w:r>
      <w:r>
        <w:rPr>
          <w:rFonts w:ascii="Calibri" w:eastAsia="Calibri" w:hAnsi="Calibri" w:cs="Calibri"/>
        </w:rPr>
        <w:t>, which is</w:t>
      </w:r>
      <w:r w:rsidRPr="18CD0E04">
        <w:rPr>
          <w:rFonts w:ascii="Calibri" w:eastAsia="Calibri" w:hAnsi="Calibri" w:cs="Calibri"/>
        </w:rPr>
        <w:t xml:space="preserve"> January 22, 2026.</w:t>
      </w:r>
    </w:p>
    <w:p w14:paraId="05A9DDAC" w14:textId="7A7BAECC" w:rsidR="00AA322E" w:rsidRPr="001B79E9" w:rsidRDefault="00AA322E" w:rsidP="00AA322E">
      <w:pPr>
        <w:rPr>
          <w:b/>
          <w:bCs/>
        </w:rPr>
      </w:pPr>
      <w:r w:rsidRPr="781F3F70">
        <w:rPr>
          <w:b/>
          <w:bCs/>
        </w:rPr>
        <w:lastRenderedPageBreak/>
        <w:t xml:space="preserve">Slide 5: </w:t>
      </w:r>
      <w:r>
        <w:t>The Department has reassessed the approach adopted in the 2020 Final Rule and determined to reinstate the requirement that states use State merit staff to deliver Wagner-Peyser Act Employment Service services in all states, except for Colorado, Massachusetts, and Michigan. These three states have a longstanding reliance interest in using alternative staffing models. The Department will allow only these three states to continue using the alternative staffing models to the same extent the Department previously authorized prior to February 5, 2020. Colorado, Massachusetts, and Michigan will be required to participate in rigorous multistate evaluation activities to determine whether their alternative staffing models are empirically supported. The evaluation will be conducted by the Department and will include a review of services delivered by states that use state merit-staffing, as necessary. ​</w:t>
      </w:r>
    </w:p>
    <w:p w14:paraId="60A9C309" w14:textId="77777777" w:rsidR="00AA322E" w:rsidRPr="007C4DD5" w:rsidRDefault="00AA322E" w:rsidP="00AA322E">
      <w:r>
        <w:t xml:space="preserve">​The final rule, which applies to all states, including states that implemented staffing flexibility under the 2020 Final Rule, requires states to use State merit staff to provide Wagner-Peyser Act Employment Services. The State merit-staffing requirement is a generally reliable method to ensure quality and consistency in Employment Service delivery and supports the well-established connection between Employment Service and Unemployment Insurance services. It is vital that states deliver Employment Service services effectively and equitably to unemployment insurance beneficiaries and other Employment Service customers, including MSFWs. The demands placed on state Unemployment Insurance systems by the economic impact of the COVID-19 pandemic highlighted the necessity of states to be able to rely on eligible Employment Service State merit staff to assist with Unemployment Insurance activities that can only be performed by State merit staff. Requiring states to utilize State merit staff to deliver Employment Service services would also help ensure that Employment Service services are delivered by qualified, nonpartisan personnel who are required to meet objective professional qualifications, trained to assure high-quality performance, and maintain transparent standards of performance. </w:t>
      </w:r>
    </w:p>
    <w:p w14:paraId="6BAC08E8" w14:textId="4E6679E9" w:rsidR="00AA322E" w:rsidRPr="007C4DD5" w:rsidRDefault="00AA322E" w:rsidP="00AA322E">
      <w:r>
        <w:t xml:space="preserve">The final rule also requires State Monitor Advocates functions be performed by state merit staff in all states, including Colorado, Massachusetts, and Michigan, because SMAs monitor the State Workforce Agency, report </w:t>
      </w:r>
      <w:r w:rsidR="00574C3C">
        <w:t>on State</w:t>
      </w:r>
      <w:r>
        <w:t xml:space="preserve"> Workforce Agency compliance to the State Administrator, and liaise between the  State Workforce Agency and external groups. The SMA position requires overseeing state agency functions and creating accountability for those functions, including discussing needed process improvements with state officials and ETA’s Regional and National Monitor Advocates; therefore, such oversight functions are more appropriately performed by state merit-staffing. Next, Timmy will delve more fully into rule changes impacting the services and activities for migrant and seasonal farm workers.</w:t>
      </w:r>
    </w:p>
    <w:p w14:paraId="15DC8AC3" w14:textId="37108D82" w:rsidR="00AA322E" w:rsidRPr="001B79E9" w:rsidRDefault="00AA322E" w:rsidP="00AA322E">
      <w:pPr>
        <w:rPr>
          <w:b/>
          <w:bCs/>
        </w:rPr>
      </w:pPr>
      <w:r w:rsidRPr="781F3F70">
        <w:rPr>
          <w:b/>
          <w:bCs/>
        </w:rPr>
        <w:t xml:space="preserve">Slide 6: </w:t>
      </w:r>
      <w:r w:rsidRPr="007C4DD5">
        <w:t xml:space="preserve">In this section, we will highlight </w:t>
      </w:r>
      <w:r>
        <w:t xml:space="preserve">some of </w:t>
      </w:r>
      <w:r w:rsidRPr="007C4DD5">
        <w:t xml:space="preserve">the changes </w:t>
      </w:r>
      <w:r>
        <w:t xml:space="preserve">to </w:t>
      </w:r>
      <w:r w:rsidRPr="00E52E35">
        <w:t>20 CFR parts 651, 652, 653, 654, and 658</w:t>
      </w:r>
      <w:r>
        <w:t xml:space="preserve">. </w:t>
      </w:r>
    </w:p>
    <w:p w14:paraId="23D93170" w14:textId="23726167" w:rsidR="00AA322E" w:rsidRPr="001B79E9" w:rsidRDefault="00AA322E" w:rsidP="00AA322E">
      <w:pPr>
        <w:rPr>
          <w:b/>
          <w:bCs/>
        </w:rPr>
      </w:pPr>
      <w:r w:rsidRPr="781F3F70">
        <w:rPr>
          <w:b/>
          <w:bCs/>
        </w:rPr>
        <w:t xml:space="preserve">Slide 7: </w:t>
      </w:r>
      <w:r>
        <w:t>Part 651 section 10 provides definitions that are used in 652, 653, 654, and 658. The final rule adds several new terms and revises other preexisting terms. The terms listed on the next few slides do not represent a complete list of terms that the final rule amends. For the complete list of new and revised terms, please review the staffing final rule.</w:t>
      </w:r>
    </w:p>
    <w:p w14:paraId="5E4A52D4" w14:textId="77777777" w:rsidR="00AA322E" w:rsidRDefault="00AA322E" w:rsidP="00AA322E">
      <w:r>
        <w:t xml:space="preserve">Let’s begin. The final rule adds a new definition of </w:t>
      </w:r>
      <w:r w:rsidRPr="781F3F70">
        <w:rPr>
          <w:i/>
          <w:iCs/>
        </w:rPr>
        <w:t>apparent violation</w:t>
      </w:r>
      <w:r w:rsidRPr="00B42C1E">
        <w:rPr>
          <w:rFonts w:ascii="Times New Roman" w:eastAsia="Times New Roman" w:hAnsi="Times New Roman" w:cs="Times New Roman"/>
          <w:sz w:val="24"/>
          <w:szCs w:val="24"/>
          <w:lang w:eastAsia="zh-CN"/>
        </w:rPr>
        <w:t xml:space="preserve"> </w:t>
      </w:r>
      <w:r w:rsidRPr="00B42C1E">
        <w:t xml:space="preserve">to clarify that the term means </w:t>
      </w:r>
      <w:r w:rsidRPr="00D55CF8">
        <w:t xml:space="preserve">a suspected violation of employment-related laws or </w:t>
      </w:r>
      <w:r>
        <w:t>E</w:t>
      </w:r>
      <w:r w:rsidRPr="00D55CF8">
        <w:t xml:space="preserve">mployment </w:t>
      </w:r>
      <w:r>
        <w:t>S</w:t>
      </w:r>
      <w:r w:rsidRPr="00D55CF8">
        <w:t xml:space="preserve">ervice regulations by an employer, </w:t>
      </w:r>
      <w:r w:rsidRPr="00D55CF8">
        <w:lastRenderedPageBreak/>
        <w:t>which an</w:t>
      </w:r>
      <w:r>
        <w:t xml:space="preserve"> Employment Service</w:t>
      </w:r>
      <w:r w:rsidRPr="00D55CF8">
        <w:t xml:space="preserve"> staff member observes, has reason to believe, or regarding which an</w:t>
      </w:r>
      <w:r>
        <w:t xml:space="preserve"> Employment Service</w:t>
      </w:r>
      <w:r w:rsidRPr="00D55CF8">
        <w:t xml:space="preserve"> staff member receives information (other than a </w:t>
      </w:r>
      <w:r w:rsidRPr="00EB278A">
        <w:t>complaint</w:t>
      </w:r>
      <w:r w:rsidRPr="00D55CF8">
        <w:t>).</w:t>
      </w:r>
    </w:p>
    <w:p w14:paraId="6458713F" w14:textId="77777777" w:rsidR="00AA322E" w:rsidRDefault="00AA322E" w:rsidP="00AA322E">
      <w:r>
        <w:t xml:space="preserve">The final rule amends the definition of </w:t>
      </w:r>
      <w:r w:rsidRPr="781F3F70">
        <w:rPr>
          <w:i/>
          <w:iCs/>
        </w:rPr>
        <w:t>Complaint System Representative</w:t>
      </w:r>
      <w:r>
        <w:t xml:space="preserve"> to specify that the Complaint System Representative must be trained. The addition of the word “trained” makes the definition consistent with § 658.410(g) and (h), which require that complaints must be processed by a trained Complaint System Representative.</w:t>
      </w:r>
    </w:p>
    <w:p w14:paraId="25DBE394" w14:textId="39C96458" w:rsidR="00AA322E" w:rsidRPr="001B79E9" w:rsidRDefault="00AA322E" w:rsidP="00AA322E">
      <w:pPr>
        <w:rPr>
          <w:b/>
          <w:bCs/>
        </w:rPr>
      </w:pPr>
      <w:r w:rsidRPr="781F3F70">
        <w:rPr>
          <w:b/>
          <w:bCs/>
        </w:rPr>
        <w:t xml:space="preserve">Slide 8: </w:t>
      </w:r>
      <w:r>
        <w:t xml:space="preserve">There are several changes to the definition of </w:t>
      </w:r>
      <w:r w:rsidRPr="781F3F70">
        <w:rPr>
          <w:i/>
          <w:iCs/>
        </w:rPr>
        <w:t>field checks</w:t>
      </w:r>
      <w:r>
        <w:t>. First, the final rule replaces the term “job order” with “clearance order” because field checks must be conducted on clearance orders as defined in § 651.10. Second, the final rule clarifies that field checks may be conducted by non- Employment Service state staff, in addition to Employment Service or Federal staff. This change aligns with existing regulation at § 653.503(e), which allows State Workforce Agency officials to enter into formal or informal arrangements with appropriate state and Federal enforcement agencies where the enforcement agency staff may conduct field checks instead of and on behalf of the State Workforce Agency. Third, the final rule removes the word “random” from the existing definition to clarify that the selection of the clearance orders on which the State Workforce Agency will conduct field checks is not random, though random field checks may still occur. This change clarifies that field checks may be targeted, where necessary, to respond to known or suspected compliance issues. Targeted field checks must relate to the terms and conditions on the clearance order and where it is known or suspected that wages, hours, and working and housing conditions are not being provided as specified in the clearance order.</w:t>
      </w:r>
    </w:p>
    <w:p w14:paraId="7FB67695" w14:textId="77777777" w:rsidR="00AA322E" w:rsidRPr="009A15FA" w:rsidRDefault="00AA322E" w:rsidP="00AA322E">
      <w:r>
        <w:t xml:space="preserve">The final rule also revises the definition of </w:t>
      </w:r>
      <w:r w:rsidRPr="7E921001">
        <w:rPr>
          <w:i/>
          <w:iCs/>
        </w:rPr>
        <w:t>field visits</w:t>
      </w:r>
      <w:r>
        <w:t xml:space="preserve"> in several ways. First, the final rule clarifies that field visits are announced appearances by SMAs, Regional Monitor Advocates (or RMAs), the National Monitor Advocate (or NMA), or NMA staff. Second, the revised definition will specify that field visits include discussions on farmworker rights and protections, to help ensure that these issues are consistently addressed. Third, the final rule adds to the definition that field visits may occur at places where MSFWs gather, in addition to working and living locations. Lastly, the final rule clarifies that the purpose of SMA field visits is to discuss the State Workforce Agency’s provision of Employment Services and obtain input on the adequacy of those services from MSFWs, crew leaders, and employers, not to provide direct Employment Services.</w:t>
      </w:r>
    </w:p>
    <w:p w14:paraId="3CCD2159" w14:textId="23CC8B5B" w:rsidR="00AA322E" w:rsidRPr="001B79E9" w:rsidRDefault="00AA322E" w:rsidP="00AA322E">
      <w:pPr>
        <w:rPr>
          <w:b/>
          <w:bCs/>
        </w:rPr>
      </w:pPr>
      <w:r w:rsidRPr="7E921001">
        <w:rPr>
          <w:b/>
          <w:bCs/>
        </w:rPr>
        <w:t xml:space="preserve">Slide 9: </w:t>
      </w:r>
      <w:r>
        <w:t xml:space="preserve">The final rule amends the definitions of </w:t>
      </w:r>
      <w:r w:rsidRPr="00186C5B">
        <w:rPr>
          <w:i/>
          <w:iCs/>
        </w:rPr>
        <w:t>intrastate</w:t>
      </w:r>
      <w:r>
        <w:t xml:space="preserve"> and </w:t>
      </w:r>
      <w:r w:rsidRPr="2D00AD78">
        <w:rPr>
          <w:i/>
          <w:iCs/>
        </w:rPr>
        <w:t>interstate clearance order</w:t>
      </w:r>
      <w:r>
        <w:t xml:space="preserve"> to indicate that they are agricultural “clearance” orders for temporary employment instead of “job” orders. This change aligns the definitions of job order and clearance order. </w:t>
      </w:r>
    </w:p>
    <w:p w14:paraId="248526CE" w14:textId="77777777" w:rsidR="00AA322E" w:rsidRDefault="00AA322E" w:rsidP="00AA322E">
      <w:r>
        <w:t xml:space="preserve">The final rule also clarifies that an intrastate clearance order means an agricultural clearance order for temporary employment describing one or more hard-to-fill job openings that an Employment Service office uses to request recruitment assistance from </w:t>
      </w:r>
      <w:r w:rsidRPr="781F3F70">
        <w:rPr>
          <w:b/>
          <w:bCs/>
        </w:rPr>
        <w:t>all other</w:t>
      </w:r>
      <w:r>
        <w:t xml:space="preserve"> Employment Service offices within the state, to help State Workforce Agencies understand that an intrastate clearance order must be circulated to all Employment Service offices within the state.   </w:t>
      </w:r>
    </w:p>
    <w:p w14:paraId="232E6DA7" w14:textId="77777777" w:rsidR="00AA322E" w:rsidRPr="002213F8" w:rsidRDefault="00AA322E" w:rsidP="00AA322E">
      <w:r>
        <w:t xml:space="preserve">Requesting recruitment assistance from all other Employment Service offices increases the likelihood that the employer will find the workers it needs. Note, the definition applies to criteria and non-criteria </w:t>
      </w:r>
      <w:r>
        <w:lastRenderedPageBreak/>
        <w:t xml:space="preserve">clearance orders. The description allows the employer and State Workforce Agencies to recruit as broadly as possible and assists ETA in assessing the need for interstate clearance requests, including requests connected to the H-2A visa program. The intended result is that intrastate clearance will be more likely to result in employment of U.S. workers. </w:t>
      </w:r>
    </w:p>
    <w:p w14:paraId="473157B7" w14:textId="77777777" w:rsidR="00AA322E" w:rsidRDefault="00AA322E" w:rsidP="00AA322E">
      <w:r>
        <w:t xml:space="preserve">The final rule revises the definition of </w:t>
      </w:r>
      <w:r w:rsidRPr="781F3F70">
        <w:rPr>
          <w:i/>
          <w:iCs/>
        </w:rPr>
        <w:t>migrant farmworker</w:t>
      </w:r>
      <w:r>
        <w:t xml:space="preserve"> and </w:t>
      </w:r>
      <w:r w:rsidRPr="781F3F70">
        <w:rPr>
          <w:i/>
          <w:iCs/>
        </w:rPr>
        <w:t>seasonal farmworker</w:t>
      </w:r>
      <w:r>
        <w:t xml:space="preserve"> by removing references to full-time students to make the benefits and protections of the Monitor Advocate System, including Employment Service requirements and safeguards built into the Complaint System, available to these individuals. </w:t>
      </w:r>
    </w:p>
    <w:p w14:paraId="4AFEDC39" w14:textId="77777777" w:rsidR="00AA322E" w:rsidRDefault="00AA322E" w:rsidP="00AA322E">
      <w:r>
        <w:t xml:space="preserve">The final rule also revises the definition of </w:t>
      </w:r>
      <w:r w:rsidRPr="781F3F70">
        <w:rPr>
          <w:i/>
          <w:iCs/>
        </w:rPr>
        <w:t>outreach staff</w:t>
      </w:r>
      <w:r>
        <w:t xml:space="preserve"> to clarify that an SMA is not “outreach staff” for purposes of § 653.107. While an SMA may join outreach staff on field visits, an SMA cannot fulfill a  State Workforce Agency’s responsibility under § 653.107(a) to provide outreach staff. This aligns with a revision in § 653.108(d) that specifies the SMA and their staff cannot assist with outreach responsibilities. The SMA is not responsible to provide direct Employment Services during field visits or other activities. The purpose of a SMA field visit is to discuss the State Workforce Agency’s provision of Employment Services and obtain input on the adequacy of those services from MSFWs, crew leaders, and employers in order to evaluate how the State Workforce Agency is serving MSFWs. The SMA uses this information to assess the State Workforce Agency’s compliance and advocate for improvements.  </w:t>
      </w:r>
    </w:p>
    <w:p w14:paraId="4FC6DFB1" w14:textId="3929190D" w:rsidR="00AA322E" w:rsidRPr="001B79E9" w:rsidRDefault="00AA322E" w:rsidP="001B79E9">
      <w:r w:rsidRPr="001B79E9">
        <w:rPr>
          <w:b/>
          <w:bCs/>
        </w:rPr>
        <w:t>Slide 10:</w:t>
      </w:r>
      <w:r w:rsidR="001B79E9">
        <w:t xml:space="preserve"> </w:t>
      </w:r>
      <w:r w:rsidRPr="001B79E9">
        <w:t>The final rule revises the definition of significant MSFW states by removing the text stating that designations will be made annually and changing the basis on which the designation is made from the 20 states with the highest number of MSFW participants to the 20 states with the highest estimated total number of MSFWs.</w:t>
      </w:r>
      <w:r w:rsidRPr="781F3F70">
        <w:rPr>
          <w:rFonts w:eastAsiaTheme="minorEastAsia"/>
        </w:rPr>
        <w:t xml:space="preserve"> This change will better reflect the 20 states with the highest number of MSFWs who may ultimately seek assistance from the Employment Service, rather than just those states with the highest numbers of MSFWs who have already sought assistance.</w:t>
      </w:r>
    </w:p>
    <w:p w14:paraId="1B80646B" w14:textId="37E9C8F3" w:rsidR="00AA322E" w:rsidRDefault="00AA322E" w:rsidP="00AA322E">
      <w:r>
        <w:t xml:space="preserve">The final rule revises the definitions of </w:t>
      </w:r>
      <w:r w:rsidRPr="781F3F70">
        <w:rPr>
          <w:i/>
          <w:iCs/>
        </w:rPr>
        <w:t>significant MSFW states and significant MSFW one-stop centers</w:t>
      </w:r>
      <w:r>
        <w:t xml:space="preserve"> by removing the requirement that these designations are made annually because data indicate that there are often not significant changes year to year. The list of significant MSFW states and one-stop centers may remain the same if there is no compelling reason to make a change. Additionally, the final rule broadens the criteria used to determine significant MSFW states so the Department may consider data </w:t>
      </w:r>
      <w:r w:rsidR="00660CE6">
        <w:t>re</w:t>
      </w:r>
      <w:r>
        <w:t>sources, other than the number of ES participants in the states​. The final rule also revises the definition of significant MSFW one-stop centers to include ES offices where MSFWs account for 10 percent or more of reportable individuals in the ES annually, instead of only considering the number of MSFW participants.</w:t>
      </w:r>
    </w:p>
    <w:p w14:paraId="355D0048" w14:textId="7403FB64" w:rsidR="00AA322E" w:rsidRPr="001B79E9" w:rsidRDefault="00AA322E" w:rsidP="00AA322E">
      <w:pPr>
        <w:rPr>
          <w:b/>
          <w:bCs/>
        </w:rPr>
      </w:pPr>
      <w:r w:rsidRPr="781F3F70">
        <w:rPr>
          <w:b/>
          <w:bCs/>
        </w:rPr>
        <w:t>Slide 11:</w:t>
      </w:r>
      <w:r w:rsidR="00880CB0">
        <w:rPr>
          <w:b/>
          <w:bCs/>
        </w:rPr>
        <w:t xml:space="preserve"> </w:t>
      </w:r>
      <w:r>
        <w:t xml:space="preserve">Lastly, the final rule removes the definition of </w:t>
      </w:r>
      <w:r w:rsidRPr="2D00AD78">
        <w:rPr>
          <w:i/>
          <w:iCs/>
        </w:rPr>
        <w:t>significant multilingual MSFW one-stop centers</w:t>
      </w:r>
      <w:r>
        <w:t xml:space="preserve"> because all one-stop centers must comply with the comprehensive language access requirements in 29 CFR 38.9.  </w:t>
      </w:r>
    </w:p>
    <w:p w14:paraId="4BE09EC0" w14:textId="77777777" w:rsidR="00AA322E" w:rsidRDefault="00AA322E" w:rsidP="00AA322E">
      <w:r>
        <w:t xml:space="preserve">Please review the final rule for a </w:t>
      </w:r>
      <w:r w:rsidRPr="008D11D4">
        <w:t xml:space="preserve">complete </w:t>
      </w:r>
      <w:r>
        <w:t>description of all changes to definitions.</w:t>
      </w:r>
    </w:p>
    <w:p w14:paraId="67485BFB" w14:textId="77777777" w:rsidR="00880CB0" w:rsidRDefault="00880CB0" w:rsidP="00AA322E">
      <w:pPr>
        <w:rPr>
          <w:b/>
          <w:bCs/>
        </w:rPr>
      </w:pPr>
    </w:p>
    <w:p w14:paraId="63F6EFBC" w14:textId="77777777" w:rsidR="00880CB0" w:rsidRDefault="00880CB0" w:rsidP="00AA322E">
      <w:pPr>
        <w:rPr>
          <w:b/>
          <w:bCs/>
        </w:rPr>
      </w:pPr>
    </w:p>
    <w:p w14:paraId="71489EBD" w14:textId="07F7685F" w:rsidR="00AA322E" w:rsidRPr="00880CB0" w:rsidRDefault="00AA322E" w:rsidP="00AA322E">
      <w:pPr>
        <w:rPr>
          <w:b/>
          <w:bCs/>
        </w:rPr>
      </w:pPr>
      <w:r w:rsidRPr="00644C2E">
        <w:rPr>
          <w:b/>
          <w:bCs/>
        </w:rPr>
        <w:lastRenderedPageBreak/>
        <w:t xml:space="preserve">Slide 12: </w:t>
      </w:r>
      <w:r>
        <w:t xml:space="preserve">Part 653 Subpart B describes Wagner-Peyser Act Employment Service for MSFWs. The final rule amends § 653.100(a) to clarify that the provision of services for MSFWs must be consistent with the requirement that all services of the workforce development system be available to all job seekers in an equitable </w:t>
      </w:r>
      <w:r w:rsidRPr="781F3F70">
        <w:rPr>
          <w:i/>
          <w:iCs/>
        </w:rPr>
        <w:t>and</w:t>
      </w:r>
      <w:r>
        <w:t xml:space="preserve"> nondiscriminatory fashion. The addition of the phrase “and nondiscriminatory” is intended to clarify that State Workforce Agencies must not discriminate against farmworkers because they are farmworkers or because of any characteristics protected under the nondiscrimination and equal opportunity provisions of WIOA.</w:t>
      </w:r>
    </w:p>
    <w:p w14:paraId="09FEB965" w14:textId="77777777" w:rsidR="00AA322E" w:rsidRPr="00562CD9" w:rsidRDefault="00AA322E" w:rsidP="00AA322E">
      <w:r w:rsidRPr="00562CD9">
        <w:t xml:space="preserve">The final rule </w:t>
      </w:r>
      <w:r>
        <w:t xml:space="preserve">also </w:t>
      </w:r>
      <w:r w:rsidRPr="00562CD9">
        <w:t xml:space="preserve">amends § 653.101 by clarifying that the </w:t>
      </w:r>
      <w:r>
        <w:t>State Workforce Agency</w:t>
      </w:r>
      <w:r w:rsidRPr="00562CD9">
        <w:t xml:space="preserve"> is the primary recipient of Wagner-Peyser Act funds and, therefore, is the entity responsible for ensuring that </w:t>
      </w:r>
      <w:r>
        <w:t xml:space="preserve">Employment Service </w:t>
      </w:r>
      <w:r w:rsidRPr="00562CD9">
        <w:t>staff at one-stop centers tailor services to meet the particular needs</w:t>
      </w:r>
      <w:r w:rsidRPr="5E8E1C29">
        <w:rPr>
          <w:lang w:eastAsia="zh-CN"/>
        </w:rPr>
        <w:t xml:space="preserve"> of MSFWs.</w:t>
      </w:r>
      <w:r w:rsidRPr="5E8E1C29">
        <w:rPr>
          <w:rFonts w:ascii="Times New Roman" w:eastAsia="Yu Mincho" w:hAnsi="Times New Roman" w:cs="Times New Roman"/>
          <w:sz w:val="24"/>
          <w:szCs w:val="24"/>
          <w:lang w:eastAsia="zh-CN"/>
        </w:rPr>
        <w:t xml:space="preserve"> </w:t>
      </w:r>
      <w:r>
        <w:t>Th</w:t>
      </w:r>
      <w:r w:rsidRPr="00562CD9">
        <w:t xml:space="preserve">is revision makes it clear that Wagner-Peyser Act funded staff must serve MSFWs based on their individual needs. In addition, this revision complements the MSFW-specific staffing requirements at §§ 653.107(a)(3) and 653.111. When implementing this requirement, </w:t>
      </w:r>
      <w:r>
        <w:t>State Workforce Agencies</w:t>
      </w:r>
      <w:r w:rsidRPr="00562CD9">
        <w:t xml:space="preserve"> must ensure MSFWs are offered appropriate services based on their particular workforce interes</w:t>
      </w:r>
      <w:r>
        <w:t xml:space="preserve">ts (for example, referral to jobs they may want or need to meet their employment-related goals and not only positions involving farmwork). </w:t>
      </w:r>
    </w:p>
    <w:p w14:paraId="029418CD" w14:textId="69E89414" w:rsidR="00AA322E" w:rsidRPr="00880CB0" w:rsidRDefault="00AA322E" w:rsidP="00AA322E">
      <w:pPr>
        <w:rPr>
          <w:b/>
          <w:bCs/>
        </w:rPr>
      </w:pPr>
      <w:r w:rsidRPr="781F3F70">
        <w:rPr>
          <w:b/>
          <w:bCs/>
        </w:rPr>
        <w:t xml:space="preserve">Slide 13: </w:t>
      </w:r>
      <w:r>
        <w:t xml:space="preserve">The final rule revises the regulatory text throughout § 653.107 to further describe the outreach State Workforce Agencies must conduct to MSFWs. First, each State Workforce Agency must ensure there is an adequate number of outreach staff in the state to conduct MSFW outreach in each service area of the state and to contact a majority of MSFWs in the state annually. The final rule also specifies that outreach must be performed only by outreach staff, which are staff with the duties specifically described at § 653.107(b), and that outreach staff in all states must conduct outreach on an ongoing basis. </w:t>
      </w:r>
    </w:p>
    <w:p w14:paraId="068817AA" w14:textId="77777777" w:rsidR="00AA322E" w:rsidRDefault="00AA322E" w:rsidP="00AA322E">
      <w:r>
        <w:t xml:space="preserve">Under the final rule, full-time outreach staff may not provide services to MSFWs who enter or otherwise contact the one-stop for Employment Services through the one-stop’s normal intake activities. Full-time outreach staff may also not provide any other services that are not described at 20 CFR 653.107(b), including services related to the Agricultural Recruitment System, such as field checks or housing inspections. MSFWs who contact the one-stop outside of the outreach process must be assisted by other available Employment Service staff. Consistent with § 653.107(b)(5), if an MSFW enters the Employment Service office as a result of a prior outreach contact, the MSFW may be assisted by the outreach staff, provided that the services fall under the description of follow-up contacts necessary and appropriate to provide the assistance specified in § 653.107(b)(1) through (4). </w:t>
      </w:r>
      <w:r w:rsidRPr="781F3F70">
        <w:rPr>
          <w:u w:val="single"/>
        </w:rPr>
        <w:t>I</w:t>
      </w:r>
      <w:r>
        <w:t>f outreach staff are not available, other Employment Service staff must assist the MSFW.</w:t>
      </w:r>
    </w:p>
    <w:p w14:paraId="2E00882A" w14:textId="77777777" w:rsidR="00AA322E" w:rsidRDefault="00AA322E" w:rsidP="00AA322E">
      <w:r>
        <w:t>The final rule also requires SMAs and outreach staff to coordinate their activities</w:t>
      </w:r>
      <w:r w:rsidRPr="781F3F70">
        <w:rPr>
          <w:i/>
          <w:iCs/>
        </w:rPr>
        <w:t xml:space="preserve"> </w:t>
      </w:r>
      <w:r>
        <w:t xml:space="preserve">with WIOA title I sec. 167 National Farmworker Jobs Program (NFJP) grantees, however, the final rule clarifies that activities conducted by NFJP grant recipients do not substitute for the outreach responsibilities that State Workforce Agencies’ outreach staff must conduct. </w:t>
      </w:r>
    </w:p>
    <w:p w14:paraId="65746E97" w14:textId="77777777" w:rsidR="00AA322E" w:rsidRDefault="00AA322E" w:rsidP="00AA322E">
      <w:pPr>
        <w:rPr>
          <w:rFonts w:ascii="Calibri" w:eastAsia="Calibri" w:hAnsi="Calibri" w:cs="Calibri"/>
          <w:color w:val="242021" w:themeColor="text1"/>
        </w:rPr>
      </w:pPr>
      <w:r w:rsidRPr="2D00AD78">
        <w:rPr>
          <w:rFonts w:ascii="Calibri" w:eastAsia="Calibri" w:hAnsi="Calibri" w:cs="Calibri"/>
          <w:color w:val="242021" w:themeColor="text1"/>
        </w:rPr>
        <w:t xml:space="preserve">The final rule </w:t>
      </w:r>
      <w:r>
        <w:rPr>
          <w:rFonts w:ascii="Calibri" w:eastAsia="Calibri" w:hAnsi="Calibri" w:cs="Calibri"/>
          <w:color w:val="242021" w:themeColor="text1"/>
        </w:rPr>
        <w:t>explains</w:t>
      </w:r>
      <w:r w:rsidRPr="2D00AD78">
        <w:rPr>
          <w:rFonts w:ascii="Calibri" w:eastAsia="Calibri" w:hAnsi="Calibri" w:cs="Calibri"/>
          <w:color w:val="242021" w:themeColor="text1"/>
        </w:rPr>
        <w:t xml:space="preserve"> that full-time outreach staff must devote 100 percent of their time to the outreach responsibilities described in § 653.107(b)</w:t>
      </w:r>
      <w:r>
        <w:rPr>
          <w:rFonts w:ascii="Calibri" w:eastAsia="Calibri" w:hAnsi="Calibri" w:cs="Calibri"/>
          <w:color w:val="242021" w:themeColor="text1"/>
        </w:rPr>
        <w:t>. The final rule also requires</w:t>
      </w:r>
      <w:r w:rsidRPr="2D00AD78">
        <w:rPr>
          <w:rFonts w:ascii="Calibri" w:eastAsia="Calibri" w:hAnsi="Calibri" w:cs="Calibri"/>
          <w:color w:val="242021" w:themeColor="text1"/>
        </w:rPr>
        <w:t xml:space="preserve"> that outreach staffing </w:t>
      </w:r>
      <w:r w:rsidRPr="2D00AD78">
        <w:rPr>
          <w:rFonts w:ascii="Calibri" w:eastAsia="Calibri" w:hAnsi="Calibri" w:cs="Calibri"/>
          <w:color w:val="242021" w:themeColor="text1"/>
        </w:rPr>
        <w:lastRenderedPageBreak/>
        <w:t xml:space="preserve">levels align with and be supported by the estimated number of MSFWs and MSFW activity in the </w:t>
      </w:r>
      <w:r w:rsidRPr="00120B2F">
        <w:rPr>
          <w:rFonts w:ascii="Calibri" w:eastAsia="Calibri" w:hAnsi="Calibri" w:cs="Calibri"/>
        </w:rPr>
        <w:t>s</w:t>
      </w:r>
      <w:r w:rsidRPr="2D00AD78">
        <w:rPr>
          <w:rFonts w:ascii="Calibri" w:eastAsia="Calibri" w:hAnsi="Calibri" w:cs="Calibri"/>
          <w:color w:val="242021" w:themeColor="text1"/>
        </w:rPr>
        <w:t>tate, as demonstrated in the State’s Agricultural Outreach Plan</w:t>
      </w:r>
      <w:r>
        <w:rPr>
          <w:rFonts w:ascii="Calibri" w:eastAsia="Calibri" w:hAnsi="Calibri" w:cs="Calibri"/>
          <w:color w:val="242021" w:themeColor="text1"/>
        </w:rPr>
        <w:t>. T</w:t>
      </w:r>
      <w:r w:rsidRPr="2D00AD78">
        <w:rPr>
          <w:rFonts w:ascii="Calibri" w:eastAsia="Calibri" w:hAnsi="Calibri" w:cs="Calibri"/>
          <w:color w:val="242021" w:themeColor="text1"/>
        </w:rPr>
        <w:t>he Agricultural Outreach Plan</w:t>
      </w:r>
      <w:r>
        <w:rPr>
          <w:rFonts w:ascii="Calibri" w:eastAsia="Calibri" w:hAnsi="Calibri" w:cs="Calibri"/>
          <w:color w:val="242021" w:themeColor="text1"/>
        </w:rPr>
        <w:t xml:space="preserve"> must also </w:t>
      </w:r>
      <w:r w:rsidRPr="2D00AD78">
        <w:rPr>
          <w:rFonts w:ascii="Calibri" w:eastAsia="Calibri" w:hAnsi="Calibri" w:cs="Calibri"/>
          <w:color w:val="242021" w:themeColor="text1"/>
        </w:rPr>
        <w:t xml:space="preserve">provide more detail about the outreach </w:t>
      </w:r>
      <w:r>
        <w:rPr>
          <w:rFonts w:ascii="Calibri" w:eastAsia="Calibri" w:hAnsi="Calibri" w:cs="Calibri"/>
          <w:color w:val="242021" w:themeColor="text1"/>
        </w:rPr>
        <w:t xml:space="preserve">State Workforce Agencies </w:t>
      </w:r>
      <w:r w:rsidRPr="2D00AD78">
        <w:rPr>
          <w:rFonts w:ascii="Calibri" w:eastAsia="Calibri" w:hAnsi="Calibri" w:cs="Calibri"/>
          <w:color w:val="242021" w:themeColor="text1"/>
        </w:rPr>
        <w:t xml:space="preserve">plan to conduct and how </w:t>
      </w:r>
      <w:r>
        <w:t>they</w:t>
      </w:r>
      <w:r w:rsidRPr="2D00AD78">
        <w:rPr>
          <w:rFonts w:ascii="Calibri" w:eastAsia="Calibri" w:hAnsi="Calibri" w:cs="Calibri"/>
          <w:color w:val="242021" w:themeColor="text1"/>
        </w:rPr>
        <w:t xml:space="preserve"> plan to comply with the staffing requirements for significant one-stop centers in § 653.111. </w:t>
      </w:r>
    </w:p>
    <w:p w14:paraId="3EC3826A" w14:textId="77777777" w:rsidR="00AA322E" w:rsidRDefault="00AA322E" w:rsidP="00AA322E">
      <w:r>
        <w:t xml:space="preserve">Lastly, the final rule requires that State Workforce Agencies in </w:t>
      </w:r>
      <w:r w:rsidRPr="2D00AD78">
        <w:rPr>
          <w:i/>
          <w:iCs/>
        </w:rPr>
        <w:t>all s</w:t>
      </w:r>
      <w:r>
        <w:t>tates, not just supply states, are required to conduct thorough outreach efforts with extensive follow-up activities</w:t>
      </w:r>
      <w:r w:rsidRPr="00120B2F">
        <w:rPr>
          <w:rFonts w:eastAsiaTheme="minorEastAsia"/>
          <w:color w:val="2B579A"/>
        </w:rPr>
        <w:t>.</w:t>
      </w:r>
      <w:r>
        <w:t xml:space="preserve"> </w:t>
      </w:r>
    </w:p>
    <w:p w14:paraId="5654D5D6" w14:textId="7949574C" w:rsidR="00AA322E" w:rsidRPr="00880CB0" w:rsidRDefault="00AA322E" w:rsidP="00AA322E">
      <w:pPr>
        <w:rPr>
          <w:b/>
          <w:bCs/>
        </w:rPr>
      </w:pPr>
      <w:r w:rsidRPr="199D3936">
        <w:rPr>
          <w:b/>
          <w:bCs/>
        </w:rPr>
        <w:t>Slide 1</w:t>
      </w:r>
      <w:r>
        <w:rPr>
          <w:b/>
          <w:bCs/>
        </w:rPr>
        <w:t>4</w:t>
      </w:r>
      <w:r w:rsidRPr="199D3936">
        <w:rPr>
          <w:b/>
          <w:bCs/>
        </w:rPr>
        <w:t xml:space="preserve">: </w:t>
      </w:r>
      <w:r>
        <w:t>Some additional ways the final rule strengthens outreach to MSFWs include requiring that the State Workforce Agency not only “seek” qualified candidates with certain characteristics when hiring or assigning outreach staff, but also place a strong emphasis on hiring and assigning such candidates. Additionally, the final rule requires that State Workforce Agencies inform farmworker organizations and other organizations with expertise concerning MSFWs of outreach staff job openings and encourage the other organizations to refer qualified applicants to apply. This paragraph has been added to increase the likelihood that State Workforce Agencies will have outreach staff who meet the criteria.</w:t>
      </w:r>
    </w:p>
    <w:p w14:paraId="7D6E9C8D" w14:textId="73FE87A9" w:rsidR="00AA322E" w:rsidRPr="00880CB0" w:rsidRDefault="00AA322E" w:rsidP="00AA322E">
      <w:pPr>
        <w:rPr>
          <w:rFonts w:eastAsiaTheme="minorEastAsia"/>
        </w:rPr>
      </w:pPr>
      <w:r>
        <w:t xml:space="preserve">Lastly </w:t>
      </w:r>
      <w:r w:rsidRPr="00160482">
        <w:t xml:space="preserve">on this slide, the final rule </w:t>
      </w:r>
      <w:r w:rsidRPr="00160482">
        <w:rPr>
          <w:rFonts w:eastAsiaTheme="minorEastAsia"/>
        </w:rPr>
        <w:t xml:space="preserve">specifies that the SMA’s Annual Summary must summarize outreach efforts undertaken by all significant and non-significant MSFW Employment Service offices in the state. The SMA must include the results of those efforts and analyze whether outreach levels and results were adequate. </w:t>
      </w:r>
    </w:p>
    <w:p w14:paraId="10B85CFC" w14:textId="39B12402" w:rsidR="00AA322E" w:rsidRPr="00880CB0" w:rsidRDefault="00AA322E" w:rsidP="00AA322E">
      <w:pPr>
        <w:rPr>
          <w:b/>
          <w:bCs/>
        </w:rPr>
      </w:pPr>
      <w:r w:rsidRPr="199D3936">
        <w:rPr>
          <w:b/>
          <w:bCs/>
        </w:rPr>
        <w:t>Slide 1</w:t>
      </w:r>
      <w:r>
        <w:rPr>
          <w:b/>
          <w:bCs/>
        </w:rPr>
        <w:t>5</w:t>
      </w:r>
      <w:r w:rsidRPr="199D3936">
        <w:rPr>
          <w:b/>
          <w:bCs/>
        </w:rPr>
        <w:t xml:space="preserve">: </w:t>
      </w:r>
      <w:r>
        <w:t>There are numerous revisions to § 653.108 that strengthen the SMA’s role and functions. I will discuss some of the key changes in this section. Again, please read the final rule in its entirety.</w:t>
      </w:r>
    </w:p>
    <w:p w14:paraId="0BD3F17D" w14:textId="77777777" w:rsidR="00AA322E" w:rsidRPr="00B40A4D" w:rsidRDefault="00AA322E" w:rsidP="00AA322E">
      <w:r>
        <w:t xml:space="preserve">The final rule explicitly prohibits the State Administrator or Employment Service staff from retaliating against an SMA for performing required monitoring activities. Similar to the outreach staff recruitment requirements we already mentioned, State Workforce Agencies must also to seek </w:t>
      </w:r>
      <w:r w:rsidRPr="781F3F70">
        <w:rPr>
          <w:i/>
          <w:iCs/>
        </w:rPr>
        <w:t>and</w:t>
      </w:r>
      <w:r>
        <w:t xml:space="preserve"> place a strong emphasis on hiring SMAs that meet the criteria in § 653.108(b)(1)-(3). </w:t>
      </w:r>
    </w:p>
    <w:p w14:paraId="305D0F7C" w14:textId="0DEBDEAB" w:rsidR="00AA322E" w:rsidRPr="00764C8A" w:rsidRDefault="00AA322E" w:rsidP="00AA322E">
      <w:r>
        <w:t>The final rule further requires the SMA to be a senior-level Employment Service staff employee, who must report directly to the State Administrator or their designee, and must have the knowledge, skills, and abilities necessary to fulfill the SMA responsibilities. The final rule explains that SMAs need to hold a senior-level position that will grant them more direct access to top management and that they must have sufficient authority, staff, resources, and access to top management to monitor compliance with the Employment Service regulations. In addition, the change prohibits SMA staff from performing work that conflicts with their SMA duties.</w:t>
      </w:r>
    </w:p>
    <w:p w14:paraId="7D27D1D9" w14:textId="77777777" w:rsidR="00AA322E" w:rsidRDefault="00AA322E" w:rsidP="00AA322E">
      <w:r>
        <w:t>Lastly, the final rule requires that SMAs establish an ongoing liaison with the State-level Equal Opportunity Officer.</w:t>
      </w:r>
    </w:p>
    <w:p w14:paraId="5469FA80" w14:textId="518E1966" w:rsidR="00AA322E" w:rsidRPr="008A5E48" w:rsidRDefault="00AA322E" w:rsidP="00AA322E">
      <w:pPr>
        <w:rPr>
          <w:b/>
          <w:bCs/>
        </w:rPr>
      </w:pPr>
      <w:r w:rsidRPr="2D00AD78">
        <w:rPr>
          <w:b/>
          <w:bCs/>
        </w:rPr>
        <w:t>Slide 1</w:t>
      </w:r>
      <w:r>
        <w:rPr>
          <w:b/>
          <w:bCs/>
        </w:rPr>
        <w:t>6</w:t>
      </w:r>
      <w:r w:rsidRPr="2D00AD78">
        <w:rPr>
          <w:b/>
          <w:bCs/>
        </w:rPr>
        <w:t>:</w:t>
      </w:r>
      <w:r w:rsidR="008A5E48">
        <w:rPr>
          <w:b/>
          <w:bCs/>
        </w:rPr>
        <w:t xml:space="preserve"> </w:t>
      </w:r>
      <w:r>
        <w:t>The final rule establishes a new data collection requirement for State Workforce Agencies to collect the number of reportable individuals who are Migrant and Seasonal Farm Workers. Previously, State Workforce Agencies only needed to document MSFW status for Employment Service participants.</w:t>
      </w:r>
    </w:p>
    <w:p w14:paraId="00BBF1B9" w14:textId="77777777" w:rsidR="00AA322E" w:rsidRDefault="00AA322E" w:rsidP="00AA322E">
      <w:r>
        <w:t xml:space="preserve">Additionally, as language access is crucial for individuals with limited English proficiency, the final rule clarifies that State Workforce Agencies must comply with the language access requirements at 29 CFR </w:t>
      </w:r>
      <w:r>
        <w:lastRenderedPageBreak/>
        <w:t xml:space="preserve">38.9 when providing Wagner-Peyser Employment Service services to MSFWs. 29 CFR 38.9 describes the language access requirements that apply comprehensively, including the obligations to translate vital information in written materials and to convey vital information to individuals with limited English proficiency in their preferred languages once the American Job Center becomes aware of an individual’s non-English preferred languages.  </w:t>
      </w:r>
    </w:p>
    <w:p w14:paraId="193F4413" w14:textId="4CFE5CC7" w:rsidR="00AA322E" w:rsidRPr="008A5E48" w:rsidRDefault="00AA322E" w:rsidP="00AA322E">
      <w:pPr>
        <w:rPr>
          <w:b/>
          <w:bCs/>
        </w:rPr>
      </w:pPr>
      <w:r>
        <w:br/>
      </w:r>
      <w:r w:rsidRPr="2D00AD78">
        <w:rPr>
          <w:b/>
          <w:bCs/>
        </w:rPr>
        <w:t>Slide 1</w:t>
      </w:r>
      <w:r>
        <w:rPr>
          <w:b/>
          <w:bCs/>
        </w:rPr>
        <w:t>7</w:t>
      </w:r>
      <w:r w:rsidRPr="2D00AD78">
        <w:rPr>
          <w:b/>
          <w:bCs/>
        </w:rPr>
        <w:t xml:space="preserve">: </w:t>
      </w:r>
      <w:r>
        <w:t>Subpart E covers the purpose and scope of the Complaint System and the requirements for processing complaints at the local, state, and Federal levels. The final rule prohibits the SMA from being the Complaint System Representative and shifts the responsibility to follow-up monthly on MSFW complaints to the Complaint System Representative, instead of the SMA.  Removing the SMA from direct involvement in the Complaint System will allow SMAs to focus on monitoring activities that impact the Complaint System and will remove potential conflicts of interest.</w:t>
      </w:r>
    </w:p>
    <w:p w14:paraId="02A8D812" w14:textId="28024DE7" w:rsidR="00AA322E" w:rsidRPr="007B71C1" w:rsidRDefault="00AA322E" w:rsidP="00AA322E">
      <w:r>
        <w:t>Several changes have been made to complaint processing, which include broadening contact methods complainants may provide, removing SMAs from direct complaint processing, and simplifying the process for referring complaints involving nondiscrimination laws.</w:t>
      </w:r>
    </w:p>
    <w:p w14:paraId="1CAB29F6" w14:textId="3269A466" w:rsidR="00AA322E" w:rsidRPr="008A5E48" w:rsidRDefault="00AA322E" w:rsidP="00AA322E">
      <w:pPr>
        <w:rPr>
          <w:b/>
          <w:bCs/>
        </w:rPr>
      </w:pPr>
      <w:r w:rsidRPr="2D00AD78">
        <w:rPr>
          <w:b/>
          <w:bCs/>
        </w:rPr>
        <w:t>Slide 1</w:t>
      </w:r>
      <w:r>
        <w:rPr>
          <w:b/>
          <w:bCs/>
        </w:rPr>
        <w:t>8</w:t>
      </w:r>
      <w:r w:rsidRPr="2D00AD78">
        <w:rPr>
          <w:b/>
          <w:bCs/>
        </w:rPr>
        <w:t xml:space="preserve">: </w:t>
      </w:r>
      <w:r>
        <w:t xml:space="preserve">The final rule revises § 658.419(a) to make it agree with the new definition of apparent violation. the final rule also clarifies that ES Office Managers must ensure apparent violations are documented in the Complaint System log and that apparent violations involving alleged violations of nondiscrimination laws must be logged and immediately referred to the state-level EO Officer.  </w:t>
      </w:r>
    </w:p>
    <w:p w14:paraId="1731A1A1" w14:textId="738CE554" w:rsidR="00AA322E" w:rsidRPr="008A5E48" w:rsidRDefault="00AA322E" w:rsidP="00AA322E">
      <w:pPr>
        <w:rPr>
          <w:b/>
          <w:bCs/>
        </w:rPr>
      </w:pPr>
      <w:r w:rsidRPr="00A11B6C">
        <w:rPr>
          <w:b/>
        </w:rPr>
        <w:t>Slide 19:</w:t>
      </w:r>
      <w:r w:rsidR="008A5E48">
        <w:rPr>
          <w:b/>
        </w:rPr>
        <w:t xml:space="preserve"> </w:t>
      </w:r>
      <w:r>
        <w:t xml:space="preserve">In this last section, we will discuss the revised responsibilities of the Regional and National offices. </w:t>
      </w:r>
    </w:p>
    <w:p w14:paraId="2ED50A92" w14:textId="67F5FEBC" w:rsidR="008A5E48" w:rsidRDefault="00AA322E" w:rsidP="00AA322E">
      <w:pPr>
        <w:rPr>
          <w:b/>
          <w:bCs/>
        </w:rPr>
      </w:pPr>
      <w:r w:rsidRPr="00A11B6C">
        <w:rPr>
          <w:b/>
          <w:bCs/>
        </w:rPr>
        <w:t>Slide 20:</w:t>
      </w:r>
      <w:r w:rsidR="008A5E48">
        <w:rPr>
          <w:b/>
          <w:bCs/>
        </w:rPr>
        <w:t xml:space="preserve"> </w:t>
      </w:r>
      <w:r>
        <w:t xml:space="preserve">The final rule makes several revisions to ETA regional office responsibilities that are parallel to the changes made regarding how State Workforce Agencies process complaints. For example, ETA regional offices must now log and immediately refer complaints alleging violations of nondiscrimination laws to the appropriate state-level Equal Opportunity Officers. The final rule also removes procedures for complaints alleging discrimination on the basis of genetic information because these complaints fall under the simplified procedures as described in § 658.420(b)(1). Lastly, § 658.420(c) has been revised to clarify that Department officials must follow the process at § 658.422 for employment-related law complaints, instead of § 658.411. </w:t>
      </w:r>
    </w:p>
    <w:p w14:paraId="560363A6" w14:textId="0721E0E7" w:rsidR="00AA322E" w:rsidRPr="008A5E48" w:rsidRDefault="00AA322E" w:rsidP="00AA322E">
      <w:pPr>
        <w:rPr>
          <w:b/>
          <w:bCs/>
        </w:rPr>
      </w:pPr>
      <w:bookmarkStart w:id="0" w:name="_Hlk150873746"/>
      <w:r w:rsidRPr="2E26A827">
        <w:rPr>
          <w:b/>
          <w:bCs/>
        </w:rPr>
        <w:t>Slide 2</w:t>
      </w:r>
      <w:r>
        <w:rPr>
          <w:b/>
          <w:bCs/>
        </w:rPr>
        <w:t>1</w:t>
      </w:r>
      <w:r w:rsidRPr="2E26A827">
        <w:rPr>
          <w:b/>
          <w:bCs/>
        </w:rPr>
        <w:t xml:space="preserve">: </w:t>
      </w:r>
      <w:bookmarkEnd w:id="0"/>
      <w:r>
        <w:t xml:space="preserve">The final rule revises Regional Monitor Advocate (RMA) training requirements to require that RMAs participate in training sessions offered by the National Office and additional training sessions necessary to maintain competency and enhance their understanding of issues farmworkers face.  </w:t>
      </w:r>
    </w:p>
    <w:p w14:paraId="5B12B962" w14:textId="77777777" w:rsidR="00AA322E" w:rsidRDefault="00AA322E" w:rsidP="00AA322E">
      <w:r>
        <w:t xml:space="preserve">The final rule also removes the requirement that field checks conducted by the Regional Administrator or National Monitor Advocate be random. This change parallels the removal of the word “random” from the State Workforce Agency’s field check requirements. </w:t>
      </w:r>
    </w:p>
    <w:p w14:paraId="5064D6EB" w14:textId="77777777" w:rsidR="008A5E48" w:rsidRDefault="008A5E48" w:rsidP="00AA322E">
      <w:pPr>
        <w:rPr>
          <w:b/>
          <w:bCs/>
        </w:rPr>
      </w:pPr>
    </w:p>
    <w:p w14:paraId="5A2111F1" w14:textId="77777777" w:rsidR="008A5E48" w:rsidRDefault="008A5E48" w:rsidP="00AA322E">
      <w:pPr>
        <w:rPr>
          <w:b/>
          <w:bCs/>
        </w:rPr>
      </w:pPr>
    </w:p>
    <w:p w14:paraId="6A2673E5" w14:textId="2A17A06D" w:rsidR="00AA322E" w:rsidRPr="008A5E48" w:rsidRDefault="00AA322E" w:rsidP="00AA322E">
      <w:pPr>
        <w:rPr>
          <w:b/>
          <w:bCs/>
        </w:rPr>
      </w:pPr>
      <w:r w:rsidRPr="2D00AD78">
        <w:rPr>
          <w:b/>
          <w:bCs/>
        </w:rPr>
        <w:lastRenderedPageBreak/>
        <w:t>Slide 2</w:t>
      </w:r>
      <w:r>
        <w:rPr>
          <w:b/>
          <w:bCs/>
        </w:rPr>
        <w:t>2</w:t>
      </w:r>
      <w:r w:rsidRPr="2D00AD78">
        <w:rPr>
          <w:b/>
          <w:bCs/>
        </w:rPr>
        <w:t xml:space="preserve">: </w:t>
      </w:r>
      <w:r>
        <w:t>The final rule revises the procedures for Federal application of remedial actions to State Workforce Agencies to require that the Regional Administrator must notify both the RMA and the National Monitor Advocate when findings and noncompliance involve services to MSFWs or the Complaint System. Additionally, the final rule requires final notifications of noncompliance to be sent to the RMA, as well as the NMA. These changes are necessary for the RMA to be aware of all Employment Service issues involving MSFWs and the Complaint System, which the RMA is responsible to monitor in their assigned region.</w:t>
      </w:r>
    </w:p>
    <w:p w14:paraId="60390FB3" w14:textId="77777777" w:rsidR="00AA322E" w:rsidRPr="0061479F" w:rsidRDefault="00AA322E" w:rsidP="00AA322E">
      <w:r>
        <w:t>The final rule also specifies that any State Workforce Agency that has received a Notice of Remedial Action may request a hearing</w:t>
      </w:r>
      <w:r w:rsidRPr="00640115">
        <w:t xml:space="preserve"> by filing a written request with the Regional Administrator within 20 business days of the SWA's receipt of the notice.</w:t>
      </w:r>
    </w:p>
    <w:p w14:paraId="3E1E49DC" w14:textId="4725575A" w:rsidR="00AA322E" w:rsidRPr="008A5E48" w:rsidRDefault="00AA322E" w:rsidP="00AA322E">
      <w:pPr>
        <w:rPr>
          <w:b/>
          <w:bCs/>
        </w:rPr>
      </w:pPr>
      <w:r w:rsidRPr="2D00AD78">
        <w:rPr>
          <w:b/>
          <w:bCs/>
        </w:rPr>
        <w:t>Slide 2</w:t>
      </w:r>
      <w:r>
        <w:rPr>
          <w:b/>
          <w:bCs/>
        </w:rPr>
        <w:t>3</w:t>
      </w:r>
      <w:r w:rsidRPr="2D00AD78">
        <w:rPr>
          <w:b/>
          <w:bCs/>
        </w:rPr>
        <w:t xml:space="preserve">: </w:t>
      </w:r>
      <w:r>
        <w:t>Several technical amendments and global changes were made throughout the regulatory text to</w:t>
      </w:r>
      <w:r w:rsidDel="00653E01">
        <w:t xml:space="preserve"> </w:t>
      </w:r>
      <w:r>
        <w:t>simplify and standardize the use of terminology. The language is intended to improve usage of plain language within the regulations. Technical edits have also been made to refine gender-inclusive language within the regulatory text while maintaining plain language principles. Please refer to the final rule for a complete description of the changes.</w:t>
      </w:r>
    </w:p>
    <w:p w14:paraId="5E00455A" w14:textId="4074F1D5" w:rsidR="00AA322E" w:rsidRPr="008A5E48" w:rsidRDefault="00AA322E" w:rsidP="00AA322E">
      <w:pPr>
        <w:rPr>
          <w:b/>
          <w:bCs/>
        </w:rPr>
      </w:pPr>
      <w:r w:rsidRPr="2D00AD78">
        <w:rPr>
          <w:b/>
          <w:bCs/>
        </w:rPr>
        <w:t>Slide 2</w:t>
      </w:r>
      <w:r>
        <w:rPr>
          <w:b/>
          <w:bCs/>
        </w:rPr>
        <w:t>4</w:t>
      </w:r>
      <w:r w:rsidRPr="2D00AD78">
        <w:rPr>
          <w:b/>
          <w:bCs/>
        </w:rPr>
        <w:t xml:space="preserve">: </w:t>
      </w:r>
      <w:r>
        <w:t>The final rule impacts associated information collections,</w:t>
      </w:r>
      <w:r w:rsidR="00A001BD">
        <w:t xml:space="preserve"> most</w:t>
      </w:r>
      <w:r>
        <w:t xml:space="preserve"> notably the WIOA State Plans. </w:t>
      </w:r>
      <w:r w:rsidRPr="781F3F70">
        <w:rPr>
          <w:rFonts w:ascii="Calibri" w:eastAsia="Calibri" w:hAnsi="Calibri" w:cs="Calibri"/>
          <w:color w:val="162830" w:themeColor="accent1" w:themeShade="80"/>
        </w:rPr>
        <w:t>Because states are allowed up to 24 months to come into compliance with the rule</w:t>
      </w:r>
      <w:r>
        <w:t xml:space="preserve">, the WIOA State Plan requirements for the Wagner-Peyser portion of the plan will be effective for the Program Year (PY) 2026 submission cycle. For the PY 2024 WIOA State Plan, states must use the requirements identified in </w:t>
      </w:r>
      <w:hyperlink r:id="rId11">
        <w:r w:rsidRPr="781F3F70">
          <w:rPr>
            <w:rStyle w:val="Hyperlink"/>
          </w:rPr>
          <w:t>OMB approved State Plan ICR_1205-0522_5_4_2023.docx (live.com)</w:t>
        </w:r>
      </w:hyperlink>
      <w:r>
        <w:t xml:space="preserve">. We </w:t>
      </w:r>
      <w:r w:rsidR="001F336E">
        <w:t>encourage</w:t>
      </w:r>
      <w:r>
        <w:t xml:space="preserve"> states to include a description of any planned activities or milestones for transitioning back to a merit-staff service delivery model for PY 2024. This is not </w:t>
      </w:r>
      <w:r w:rsidR="001F336E">
        <w:t>required</w:t>
      </w:r>
      <w:r>
        <w:t>. As stated in the slide, it is optional for states to do this.</w:t>
      </w:r>
    </w:p>
    <w:p w14:paraId="584A6831" w14:textId="735FCD53" w:rsidR="00AA322E" w:rsidRPr="008A5E48" w:rsidRDefault="00AA322E" w:rsidP="00AA322E">
      <w:pPr>
        <w:rPr>
          <w:b/>
          <w:bCs/>
        </w:rPr>
      </w:pPr>
      <w:r w:rsidRPr="00977388">
        <w:rPr>
          <w:b/>
          <w:bCs/>
        </w:rPr>
        <w:t>Slide 2</w:t>
      </w:r>
      <w:r>
        <w:rPr>
          <w:b/>
          <w:bCs/>
        </w:rPr>
        <w:t>5</w:t>
      </w:r>
      <w:r w:rsidRPr="00977388">
        <w:rPr>
          <w:b/>
          <w:bCs/>
        </w:rPr>
        <w:t xml:space="preserve">: </w:t>
      </w:r>
      <w:r>
        <w:t xml:space="preserve">If you have questions after reviewing this webinar, please contact your regional office. For questions on MSFW-related regulations, please contact your Regional Monitor Advocate. Contact information for ETA regional offices and Regional Monitor Advocates is available through the links on this slide. </w:t>
      </w:r>
    </w:p>
    <w:p w14:paraId="4A8D3365" w14:textId="2AD2A3AD" w:rsidR="00AA322E" w:rsidRPr="008A5E48" w:rsidRDefault="00AA322E" w:rsidP="00AA322E">
      <w:pPr>
        <w:rPr>
          <w:b/>
          <w:bCs/>
        </w:rPr>
      </w:pPr>
      <w:r w:rsidRPr="00977388">
        <w:rPr>
          <w:b/>
          <w:bCs/>
        </w:rPr>
        <w:t>Slide 2</w:t>
      </w:r>
      <w:r>
        <w:rPr>
          <w:b/>
          <w:bCs/>
        </w:rPr>
        <w:t>6</w:t>
      </w:r>
      <w:r w:rsidRPr="00977388">
        <w:rPr>
          <w:b/>
          <w:bCs/>
        </w:rPr>
        <w:t xml:space="preserve">: </w:t>
      </w:r>
      <w:r>
        <w:t xml:space="preserve">Listed on the slide are several resources, including the link to 2023 Wagner-Peyser Act Staffing Final Rule. </w:t>
      </w:r>
    </w:p>
    <w:p w14:paraId="71E9D68C" w14:textId="0D5BDDF1" w:rsidR="00AA322E" w:rsidRPr="008A5E48" w:rsidRDefault="00AA322E" w:rsidP="00AA322E">
      <w:pPr>
        <w:rPr>
          <w:b/>
          <w:bCs/>
        </w:rPr>
      </w:pPr>
      <w:r w:rsidRPr="00977388">
        <w:rPr>
          <w:b/>
          <w:bCs/>
        </w:rPr>
        <w:t>Slide 2</w:t>
      </w:r>
      <w:r>
        <w:rPr>
          <w:b/>
          <w:bCs/>
        </w:rPr>
        <w:t>7</w:t>
      </w:r>
      <w:r w:rsidRPr="00977388">
        <w:rPr>
          <w:b/>
          <w:bCs/>
        </w:rPr>
        <w:t xml:space="preserve">: </w:t>
      </w:r>
      <w:r>
        <w:t xml:space="preserve">We thank you for taking the time to review this information and for your work to implement the important changes we discussed. </w:t>
      </w:r>
    </w:p>
    <w:p w14:paraId="15B0CA58" w14:textId="48B1334E" w:rsidR="00155234" w:rsidRPr="00A53B5E" w:rsidRDefault="00155234" w:rsidP="00A53B5E"/>
    <w:p w14:paraId="26D111EC" w14:textId="321C440B" w:rsidR="00254175" w:rsidRPr="009F605E" w:rsidRDefault="00254175" w:rsidP="0060019D"/>
    <w:p w14:paraId="152C54E0" w14:textId="2BE640FF" w:rsidR="009F605E" w:rsidRDefault="009F605E" w:rsidP="00AD590B">
      <w:pPr>
        <w:ind w:left="360"/>
      </w:pPr>
    </w:p>
    <w:p w14:paraId="07B9FB21" w14:textId="77777777" w:rsidR="009F605E" w:rsidRPr="00F30316" w:rsidRDefault="009F605E" w:rsidP="00AD590B">
      <w:pPr>
        <w:ind w:left="360"/>
      </w:pPr>
    </w:p>
    <w:sectPr w:rsidR="009F605E" w:rsidRPr="00F30316" w:rsidSect="007C21E2">
      <w:headerReference w:type="default" r:id="rId12"/>
      <w:footerReference w:type="default" r:id="rId13"/>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E17D0" w14:textId="77777777" w:rsidR="00D6022E" w:rsidRDefault="00D6022E" w:rsidP="003516B4">
      <w:pPr>
        <w:spacing w:after="0" w:line="240" w:lineRule="auto"/>
      </w:pPr>
      <w:r>
        <w:separator/>
      </w:r>
    </w:p>
  </w:endnote>
  <w:endnote w:type="continuationSeparator" w:id="0">
    <w:p w14:paraId="72B62677" w14:textId="77777777" w:rsidR="00D6022E" w:rsidRDefault="00D6022E" w:rsidP="0035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0853" w14:textId="6157FE77" w:rsidR="007B1BA2" w:rsidRPr="003C7B24" w:rsidRDefault="00E40A10" w:rsidP="005D2414">
    <w:pPr>
      <w:pStyle w:val="Footer"/>
      <w:ind w:left="-720"/>
      <w:jc w:val="right"/>
    </w:pPr>
    <w:r w:rsidRPr="005A7D10">
      <mc:AlternateContent>
        <mc:Choice Requires="wps">
          <w:drawing>
            <wp:anchor distT="0" distB="0" distL="114300" distR="114300" simplePos="0" relativeHeight="251660287" behindDoc="1" locked="0" layoutInCell="1" allowOverlap="1" wp14:anchorId="0FEB1650" wp14:editId="1247387D">
              <wp:simplePos x="0" y="0"/>
              <wp:positionH relativeFrom="column">
                <wp:posOffset>-914400</wp:posOffset>
              </wp:positionH>
              <wp:positionV relativeFrom="paragraph">
                <wp:posOffset>297891</wp:posOffset>
              </wp:positionV>
              <wp:extent cx="7772400" cy="9144"/>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9144"/>
                      </a:xfrm>
                      <a:prstGeom prst="rect">
                        <a:avLst/>
                      </a:prstGeom>
                      <a:solidFill>
                        <a:schemeClr val="accent4">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C6B15A" id="Rectangle 12" o:spid="_x0000_s1026" alt="&quot;&quot;" style="position:absolute;margin-left:-1in;margin-top:23.45pt;width:612pt;height:.7pt;z-index:-2516561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" fillcolor="#c8c8c6 [3207]" stroked="f" strokeweight="1.5pt">
              <v:fill opacity="52428f"/>
            </v:rect>
          </w:pict>
        </mc:Fallback>
      </mc:AlternateContent>
    </w:r>
    <w:r w:rsidR="005D2414" w:rsidRPr="005A7D10">
      <w:drawing>
        <wp:anchor distT="0" distB="0" distL="114300" distR="114300" simplePos="0" relativeHeight="251666432" behindDoc="1" locked="0" layoutInCell="1" allowOverlap="1" wp14:anchorId="6CAC9F48" wp14:editId="06622E6B">
          <wp:simplePos x="0" y="0"/>
          <wp:positionH relativeFrom="page">
            <wp:posOffset>7226935</wp:posOffset>
          </wp:positionH>
          <wp:positionV relativeFrom="page">
            <wp:posOffset>9202420</wp:posOffset>
          </wp:positionV>
          <wp:extent cx="539115" cy="855980"/>
          <wp:effectExtent l="0" t="0" r="0" b="1270"/>
          <wp:wrapNone/>
          <wp:docPr id="157230082" name="Picture 1572300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ottom_corner.png"/>
                  <pic:cNvPicPr/>
                </pic:nvPicPr>
                <pic:blipFill>
                  <a:blip r:embed="rId1"/>
                  <a:stretch>
                    <a:fillRect/>
                  </a:stretch>
                </pic:blipFill>
                <pic:spPr>
                  <a:xfrm>
                    <a:off x="0" y="0"/>
                    <a:ext cx="539115" cy="855980"/>
                  </a:xfrm>
                  <a:prstGeom prst="rect">
                    <a:avLst/>
                  </a:prstGeom>
                </pic:spPr>
              </pic:pic>
            </a:graphicData>
          </a:graphic>
          <wp14:sizeRelH relativeFrom="margin">
            <wp14:pctWidth>0</wp14:pctWidth>
          </wp14:sizeRelH>
          <wp14:sizeRelV relativeFrom="margin">
            <wp14:pctHeight>0</wp14:pctHeight>
          </wp14:sizeRelV>
        </wp:anchor>
      </w:drawing>
    </w:r>
    <w:r w:rsidR="005D2414" w:rsidRPr="005A7D10">
      <w:drawing>
        <wp:anchor distT="0" distB="0" distL="114300" distR="114300" simplePos="0" relativeHeight="251665408" behindDoc="0" locked="0" layoutInCell="1" allowOverlap="1" wp14:anchorId="07A55EC3" wp14:editId="52704909">
          <wp:simplePos x="0" y="0"/>
          <wp:positionH relativeFrom="margin">
            <wp:posOffset>-228600</wp:posOffset>
          </wp:positionH>
          <wp:positionV relativeFrom="page">
            <wp:posOffset>9372600</wp:posOffset>
          </wp:positionV>
          <wp:extent cx="2267712" cy="274566"/>
          <wp:effectExtent l="0" t="0" r="0" b="0"/>
          <wp:wrapSquare wrapText="bothSides"/>
          <wp:docPr id="92720588" name="Picture 92720588">
            <a:extLst xmlns:a="http://schemas.openxmlformats.org/drawingml/2006/main">
              <a:ext uri="{FF2B5EF4-FFF2-40B4-BE49-F238E27FC236}">
                <a16:creationId xmlns:a16="http://schemas.microsoft.com/office/drawing/2014/main" id="{B8354039-63F9-4F85-A74E-784D07722FB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0588" name="Picture 92720588">
                    <a:extLst>
                      <a:ext uri="{FF2B5EF4-FFF2-40B4-BE49-F238E27FC236}">
                        <a16:creationId xmlns:a16="http://schemas.microsoft.com/office/drawing/2014/main" id="{B8354039-63F9-4F85-A74E-784D07722FB6}"/>
                      </a:ext>
                      <a:ext uri="{C183D7F6-B498-43B3-948B-1728B52AA6E4}">
                        <adec:decorative xmlns:adec="http://schemas.microsoft.com/office/drawing/2017/decorative" val="1"/>
                      </a:ext>
                    </a:extLst>
                  </pic:cNvPr>
                  <pic:cNvPicPr>
                    <a:picLocks noChangeAspect="1"/>
                  </pic:cNvPicPr>
                </pic:nvPicPr>
                <pic:blipFill>
                  <a:blip r:embed="rId2">
                    <a:alphaModFix amt="70000"/>
                    <a:extLst>
                      <a:ext uri="{BEBA8EAE-BF5A-486C-A8C5-ECC9F3942E4B}">
                        <a14:imgProps xmlns:a14="http://schemas.microsoft.com/office/drawing/2010/main">
                          <a14:imgLayer r:embed="rId3">
                            <a14:imgEffect>
                              <a14:brightnessContrast bright="50000"/>
                            </a14:imgEffect>
                          </a14:imgLayer>
                        </a14:imgProps>
                      </a:ext>
                      <a:ext uri="{28A0092B-C50C-407E-A947-70E740481C1C}">
                        <a14:useLocalDpi xmlns:a14="http://schemas.microsoft.com/office/drawing/2010/main" val="0"/>
                      </a:ext>
                    </a:extLst>
                  </a:blip>
                  <a:stretch>
                    <a:fillRect/>
                  </a:stretch>
                </pic:blipFill>
                <pic:spPr>
                  <a:xfrm>
                    <a:off x="0" y="0"/>
                    <a:ext cx="2267712" cy="274566"/>
                  </a:xfrm>
                  <a:prstGeom prst="rect">
                    <a:avLst/>
                  </a:prstGeom>
                </pic:spPr>
              </pic:pic>
            </a:graphicData>
          </a:graphic>
          <wp14:sizeRelH relativeFrom="margin">
            <wp14:pctWidth>0</wp14:pctWidth>
          </wp14:sizeRelH>
        </wp:anchor>
      </w:drawing>
    </w:r>
    <w:r w:rsidR="005A7D10" w:rsidRPr="005A7D10">
      <w:t>2023 Wagner-Peyser Act Staffing Final Rule</w:t>
    </w:r>
    <w:r w:rsidR="005D2414">
      <w:tab/>
    </w:r>
    <w:r w:rsidR="003F57DF" w:rsidRPr="002757E0">
      <w:rPr>
        <w:rStyle w:val="Strong"/>
      </w:rPr>
      <w:fldChar w:fldCharType="begin"/>
    </w:r>
    <w:r w:rsidR="003F57DF" w:rsidRPr="002757E0">
      <w:rPr>
        <w:rStyle w:val="Strong"/>
      </w:rPr>
      <w:instrText xml:space="preserve"> PAGE   \* MERGEFORMAT </w:instrText>
    </w:r>
    <w:r w:rsidR="003F57DF" w:rsidRPr="002757E0">
      <w:rPr>
        <w:rStyle w:val="Strong"/>
      </w:rPr>
      <w:fldChar w:fldCharType="separate"/>
    </w:r>
    <w:r w:rsidR="003F57DF" w:rsidRPr="002757E0">
      <w:rPr>
        <w:rStyle w:val="Strong"/>
      </w:rPr>
      <w:t>1</w:t>
    </w:r>
    <w:r w:rsidR="003F57DF" w:rsidRPr="002757E0">
      <w:rPr>
        <w:rStyle w:val="Stron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4720" w14:textId="77777777" w:rsidR="00D6022E" w:rsidRDefault="00D6022E" w:rsidP="003516B4">
      <w:pPr>
        <w:spacing w:after="0" w:line="240" w:lineRule="auto"/>
      </w:pPr>
      <w:r>
        <w:separator/>
      </w:r>
    </w:p>
  </w:footnote>
  <w:footnote w:type="continuationSeparator" w:id="0">
    <w:p w14:paraId="74EDF4A1" w14:textId="77777777" w:rsidR="00D6022E" w:rsidRDefault="00D6022E" w:rsidP="0035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7897" w14:textId="0787B6B7" w:rsidR="00B4235C" w:rsidRDefault="00273924" w:rsidP="007C21E2">
    <w:pPr>
      <w:pStyle w:val="Header"/>
      <w:spacing w:after="40"/>
      <w:ind w:left="0"/>
      <w:rPr>
        <w:sz w:val="36"/>
        <w:szCs w:val="36"/>
      </w:rPr>
    </w:pPr>
    <w:r w:rsidRPr="00CC5DA9">
      <w:rPr>
        <w:sz w:val="36"/>
        <w:szCs w:val="36"/>
      </w:rPr>
      <w:drawing>
        <wp:anchor distT="0" distB="0" distL="114300" distR="114300" simplePos="0" relativeHeight="251663360" behindDoc="0" locked="0" layoutInCell="1" allowOverlap="1" wp14:anchorId="78430434" wp14:editId="4E00C1F7">
          <wp:simplePos x="0" y="0"/>
          <wp:positionH relativeFrom="page">
            <wp:posOffset>5833745</wp:posOffset>
          </wp:positionH>
          <wp:positionV relativeFrom="page">
            <wp:posOffset>321149</wp:posOffset>
          </wp:positionV>
          <wp:extent cx="1453896" cy="493776"/>
          <wp:effectExtent l="0" t="0" r="0" b="1905"/>
          <wp:wrapNone/>
          <wp:docPr id="645031451" name="Picture 6450314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31451" name="Picture 64503145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3896" cy="4937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DA9">
      <w:rPr>
        <w:sz w:val="36"/>
        <w:szCs w:val="36"/>
      </w:rPr>
      <mc:AlternateContent>
        <mc:Choice Requires="wpg">
          <w:drawing>
            <wp:anchor distT="0" distB="0" distL="114300" distR="114300" simplePos="0" relativeHeight="251661312" behindDoc="1" locked="0" layoutInCell="1" allowOverlap="1" wp14:anchorId="0F9433DA" wp14:editId="185F19AB">
              <wp:simplePos x="0" y="0"/>
              <wp:positionH relativeFrom="column">
                <wp:posOffset>-914400</wp:posOffset>
              </wp:positionH>
              <wp:positionV relativeFrom="paragraph">
                <wp:posOffset>-457200</wp:posOffset>
              </wp:positionV>
              <wp:extent cx="7772400" cy="1103630"/>
              <wp:effectExtent l="0" t="0" r="0" b="127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103630"/>
                        <a:chOff x="0" y="0"/>
                        <a:chExt cx="7772400" cy="1103757"/>
                      </a:xfrm>
                    </wpg:grpSpPr>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2"/>
                        <a:stretch>
                          <a:fillRect/>
                        </a:stretch>
                      </pic:blipFill>
                      <pic:spPr>
                        <a:xfrm>
                          <a:off x="0" y="0"/>
                          <a:ext cx="991235" cy="1095375"/>
                        </a:xfrm>
                        <a:prstGeom prst="rect">
                          <a:avLst/>
                        </a:prstGeom>
                      </pic:spPr>
                    </pic:pic>
                    <wps:wsp>
                      <wps:cNvPr id="5" name="Rectangle 5"/>
                      <wps:cNvSpPr/>
                      <wps:spPr>
                        <a:xfrm>
                          <a:off x="0" y="1076325"/>
                          <a:ext cx="7772400" cy="27432"/>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C605C0" id="Group 6" o:spid="_x0000_s1026" alt="&quot;&quot;" style="position:absolute;margin-left:-1in;margin-top:-36pt;width:612pt;height:86.9pt;z-index:-251655168" coordsize="77724,11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quot;&quot;" style="position:absolute;width:9912;height:10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">
                <v:imagedata r:id="rId3" o:title=""/>
              </v:shape>
              <v:rect id="Rectangle 5" o:spid="_x0000_s1028" style="position:absolute;top:10763;width:77724;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" fillcolor="#c8c8c6 [3207]" stroked="f" strokeweight="1.5pt"/>
            </v:group>
          </w:pict>
        </mc:Fallback>
      </mc:AlternateContent>
    </w:r>
    <w:r w:rsidR="006B1992" w:rsidRPr="006B1992">
      <w:t xml:space="preserve"> </w:t>
    </w:r>
    <w:r w:rsidR="005A7D10" w:rsidRPr="005A7D10">
      <w:rPr>
        <w:sz w:val="36"/>
        <w:szCs w:val="36"/>
      </w:rPr>
      <w:t>2023 Wagner-Peyser Act Staffing Final Rule</w:t>
    </w:r>
  </w:p>
  <w:p w14:paraId="5ED3A547" w14:textId="056127C1" w:rsidR="003516B4" w:rsidRPr="00CC5DA9" w:rsidRDefault="00B4235C" w:rsidP="007C21E2">
    <w:pPr>
      <w:pStyle w:val="Header"/>
      <w:spacing w:after="40"/>
      <w:ind w:left="0"/>
      <w:rPr>
        <w:sz w:val="36"/>
        <w:szCs w:val="36"/>
      </w:rPr>
    </w:pPr>
    <w:r>
      <w:rPr>
        <w:sz w:val="36"/>
        <w:szCs w:val="36"/>
      </w:rPr>
      <w:t xml:space="preserve"> Webcast </w:t>
    </w:r>
    <w:r w:rsidR="00CC5DA9" w:rsidRPr="00CC5DA9">
      <w:rPr>
        <w:sz w:val="36"/>
        <w:szCs w:val="36"/>
      </w:rPr>
      <w:t>Transcript</w:t>
    </w:r>
    <w:r w:rsidR="00CC5DA9" w:rsidRPr="00CC5DA9">
      <w:rPr>
        <w:sz w:val="24"/>
        <w:szCs w:val="24"/>
      </w:rPr>
      <w:t xml:space="preserve"> </w:t>
    </w:r>
    <w:r w:rsidR="006654CC" w:rsidRPr="00CC5DA9">
      <w:rPr>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7CB"/>
    <w:multiLevelType w:val="hybridMultilevel"/>
    <w:tmpl w:val="BA8C0428"/>
    <w:lvl w:ilvl="0" w:tplc="F754D2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54CEA"/>
    <w:multiLevelType w:val="hybridMultilevel"/>
    <w:tmpl w:val="C868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26BE7"/>
    <w:multiLevelType w:val="hybridMultilevel"/>
    <w:tmpl w:val="9BDC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534BB"/>
    <w:multiLevelType w:val="hybridMultilevel"/>
    <w:tmpl w:val="40627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A344B4"/>
    <w:multiLevelType w:val="hybridMultilevel"/>
    <w:tmpl w:val="E586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D6D7F"/>
    <w:multiLevelType w:val="hybridMultilevel"/>
    <w:tmpl w:val="D5C0B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45F8D"/>
    <w:multiLevelType w:val="hybridMultilevel"/>
    <w:tmpl w:val="F202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A2C05"/>
    <w:multiLevelType w:val="hybridMultilevel"/>
    <w:tmpl w:val="1204642E"/>
    <w:lvl w:ilvl="0" w:tplc="D8220ABA">
      <w:start w:val="1"/>
      <w:numFmt w:val="bullet"/>
      <w:lvlText w:val="-"/>
      <w:lvlJc w:val="left"/>
      <w:pPr>
        <w:tabs>
          <w:tab w:val="num" w:pos="720"/>
        </w:tabs>
        <w:ind w:left="720" w:hanging="360"/>
      </w:pPr>
      <w:rPr>
        <w:rFonts w:ascii="Times New Roman" w:hAnsi="Times New Roman" w:hint="default"/>
      </w:rPr>
    </w:lvl>
    <w:lvl w:ilvl="1" w:tplc="E2902B64" w:tentative="1">
      <w:start w:val="1"/>
      <w:numFmt w:val="bullet"/>
      <w:lvlText w:val="-"/>
      <w:lvlJc w:val="left"/>
      <w:pPr>
        <w:tabs>
          <w:tab w:val="num" w:pos="1440"/>
        </w:tabs>
        <w:ind w:left="1440" w:hanging="360"/>
      </w:pPr>
      <w:rPr>
        <w:rFonts w:ascii="Times New Roman" w:hAnsi="Times New Roman" w:hint="default"/>
      </w:rPr>
    </w:lvl>
    <w:lvl w:ilvl="2" w:tplc="FBC206E4" w:tentative="1">
      <w:start w:val="1"/>
      <w:numFmt w:val="bullet"/>
      <w:lvlText w:val="-"/>
      <w:lvlJc w:val="left"/>
      <w:pPr>
        <w:tabs>
          <w:tab w:val="num" w:pos="2160"/>
        </w:tabs>
        <w:ind w:left="2160" w:hanging="360"/>
      </w:pPr>
      <w:rPr>
        <w:rFonts w:ascii="Times New Roman" w:hAnsi="Times New Roman" w:hint="default"/>
      </w:rPr>
    </w:lvl>
    <w:lvl w:ilvl="3" w:tplc="D786AE72" w:tentative="1">
      <w:start w:val="1"/>
      <w:numFmt w:val="bullet"/>
      <w:lvlText w:val="-"/>
      <w:lvlJc w:val="left"/>
      <w:pPr>
        <w:tabs>
          <w:tab w:val="num" w:pos="2880"/>
        </w:tabs>
        <w:ind w:left="2880" w:hanging="360"/>
      </w:pPr>
      <w:rPr>
        <w:rFonts w:ascii="Times New Roman" w:hAnsi="Times New Roman" w:hint="default"/>
      </w:rPr>
    </w:lvl>
    <w:lvl w:ilvl="4" w:tplc="F6DC0804" w:tentative="1">
      <w:start w:val="1"/>
      <w:numFmt w:val="bullet"/>
      <w:lvlText w:val="-"/>
      <w:lvlJc w:val="left"/>
      <w:pPr>
        <w:tabs>
          <w:tab w:val="num" w:pos="3600"/>
        </w:tabs>
        <w:ind w:left="3600" w:hanging="360"/>
      </w:pPr>
      <w:rPr>
        <w:rFonts w:ascii="Times New Roman" w:hAnsi="Times New Roman" w:hint="default"/>
      </w:rPr>
    </w:lvl>
    <w:lvl w:ilvl="5" w:tplc="D43C9D48" w:tentative="1">
      <w:start w:val="1"/>
      <w:numFmt w:val="bullet"/>
      <w:lvlText w:val="-"/>
      <w:lvlJc w:val="left"/>
      <w:pPr>
        <w:tabs>
          <w:tab w:val="num" w:pos="4320"/>
        </w:tabs>
        <w:ind w:left="4320" w:hanging="360"/>
      </w:pPr>
      <w:rPr>
        <w:rFonts w:ascii="Times New Roman" w:hAnsi="Times New Roman" w:hint="default"/>
      </w:rPr>
    </w:lvl>
    <w:lvl w:ilvl="6" w:tplc="3F389322" w:tentative="1">
      <w:start w:val="1"/>
      <w:numFmt w:val="bullet"/>
      <w:lvlText w:val="-"/>
      <w:lvlJc w:val="left"/>
      <w:pPr>
        <w:tabs>
          <w:tab w:val="num" w:pos="5040"/>
        </w:tabs>
        <w:ind w:left="5040" w:hanging="360"/>
      </w:pPr>
      <w:rPr>
        <w:rFonts w:ascii="Times New Roman" w:hAnsi="Times New Roman" w:hint="default"/>
      </w:rPr>
    </w:lvl>
    <w:lvl w:ilvl="7" w:tplc="FC6EB34A" w:tentative="1">
      <w:start w:val="1"/>
      <w:numFmt w:val="bullet"/>
      <w:lvlText w:val="-"/>
      <w:lvlJc w:val="left"/>
      <w:pPr>
        <w:tabs>
          <w:tab w:val="num" w:pos="5760"/>
        </w:tabs>
        <w:ind w:left="5760" w:hanging="360"/>
      </w:pPr>
      <w:rPr>
        <w:rFonts w:ascii="Times New Roman" w:hAnsi="Times New Roman" w:hint="default"/>
      </w:rPr>
    </w:lvl>
    <w:lvl w:ilvl="8" w:tplc="B858AB1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7600F0E"/>
    <w:multiLevelType w:val="hybridMultilevel"/>
    <w:tmpl w:val="5A6660BE"/>
    <w:lvl w:ilvl="0" w:tplc="A52062FE">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F73ECA2C">
      <w:start w:val="1"/>
      <w:numFmt w:val="lowerRoman"/>
      <w:lvlText w:val="%3."/>
      <w:lvlJc w:val="right"/>
      <w:pPr>
        <w:ind w:left="2016" w:hanging="216"/>
      </w:pPr>
      <w:rPr>
        <w:rFonts w:hint="default"/>
        <w:color w:val="232323" w:themeColor="accent3" w:themeShade="BF"/>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EA003C"/>
    <w:multiLevelType w:val="hybridMultilevel"/>
    <w:tmpl w:val="5802B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B27F3C"/>
    <w:multiLevelType w:val="hybridMultilevel"/>
    <w:tmpl w:val="C7C2FEBC"/>
    <w:lvl w:ilvl="0" w:tplc="3E30266C">
      <w:start w:val="1"/>
      <w:numFmt w:val="bullet"/>
      <w:lvlText w:val=""/>
      <w:lvlJc w:val="left"/>
      <w:pPr>
        <w:tabs>
          <w:tab w:val="num" w:pos="720"/>
        </w:tabs>
        <w:ind w:left="720" w:hanging="360"/>
      </w:pPr>
      <w:rPr>
        <w:rFonts w:ascii="Wingdings 3" w:hAnsi="Wingdings 3" w:hint="default"/>
      </w:rPr>
    </w:lvl>
    <w:lvl w:ilvl="1" w:tplc="690AFBF0" w:tentative="1">
      <w:start w:val="1"/>
      <w:numFmt w:val="bullet"/>
      <w:lvlText w:val=""/>
      <w:lvlJc w:val="left"/>
      <w:pPr>
        <w:tabs>
          <w:tab w:val="num" w:pos="1440"/>
        </w:tabs>
        <w:ind w:left="1440" w:hanging="360"/>
      </w:pPr>
      <w:rPr>
        <w:rFonts w:ascii="Wingdings 3" w:hAnsi="Wingdings 3" w:hint="default"/>
      </w:rPr>
    </w:lvl>
    <w:lvl w:ilvl="2" w:tplc="A8EE4172" w:tentative="1">
      <w:start w:val="1"/>
      <w:numFmt w:val="bullet"/>
      <w:lvlText w:val=""/>
      <w:lvlJc w:val="left"/>
      <w:pPr>
        <w:tabs>
          <w:tab w:val="num" w:pos="2160"/>
        </w:tabs>
        <w:ind w:left="2160" w:hanging="360"/>
      </w:pPr>
      <w:rPr>
        <w:rFonts w:ascii="Wingdings 3" w:hAnsi="Wingdings 3" w:hint="default"/>
      </w:rPr>
    </w:lvl>
    <w:lvl w:ilvl="3" w:tplc="3342DD1E" w:tentative="1">
      <w:start w:val="1"/>
      <w:numFmt w:val="bullet"/>
      <w:lvlText w:val=""/>
      <w:lvlJc w:val="left"/>
      <w:pPr>
        <w:tabs>
          <w:tab w:val="num" w:pos="2880"/>
        </w:tabs>
        <w:ind w:left="2880" w:hanging="360"/>
      </w:pPr>
      <w:rPr>
        <w:rFonts w:ascii="Wingdings 3" w:hAnsi="Wingdings 3" w:hint="default"/>
      </w:rPr>
    </w:lvl>
    <w:lvl w:ilvl="4" w:tplc="8750B13A" w:tentative="1">
      <w:start w:val="1"/>
      <w:numFmt w:val="bullet"/>
      <w:lvlText w:val=""/>
      <w:lvlJc w:val="left"/>
      <w:pPr>
        <w:tabs>
          <w:tab w:val="num" w:pos="3600"/>
        </w:tabs>
        <w:ind w:left="3600" w:hanging="360"/>
      </w:pPr>
      <w:rPr>
        <w:rFonts w:ascii="Wingdings 3" w:hAnsi="Wingdings 3" w:hint="default"/>
      </w:rPr>
    </w:lvl>
    <w:lvl w:ilvl="5" w:tplc="71FC4134" w:tentative="1">
      <w:start w:val="1"/>
      <w:numFmt w:val="bullet"/>
      <w:lvlText w:val=""/>
      <w:lvlJc w:val="left"/>
      <w:pPr>
        <w:tabs>
          <w:tab w:val="num" w:pos="4320"/>
        </w:tabs>
        <w:ind w:left="4320" w:hanging="360"/>
      </w:pPr>
      <w:rPr>
        <w:rFonts w:ascii="Wingdings 3" w:hAnsi="Wingdings 3" w:hint="default"/>
      </w:rPr>
    </w:lvl>
    <w:lvl w:ilvl="6" w:tplc="DEDC4C5E" w:tentative="1">
      <w:start w:val="1"/>
      <w:numFmt w:val="bullet"/>
      <w:lvlText w:val=""/>
      <w:lvlJc w:val="left"/>
      <w:pPr>
        <w:tabs>
          <w:tab w:val="num" w:pos="5040"/>
        </w:tabs>
        <w:ind w:left="5040" w:hanging="360"/>
      </w:pPr>
      <w:rPr>
        <w:rFonts w:ascii="Wingdings 3" w:hAnsi="Wingdings 3" w:hint="default"/>
      </w:rPr>
    </w:lvl>
    <w:lvl w:ilvl="7" w:tplc="027468A0" w:tentative="1">
      <w:start w:val="1"/>
      <w:numFmt w:val="bullet"/>
      <w:lvlText w:val=""/>
      <w:lvlJc w:val="left"/>
      <w:pPr>
        <w:tabs>
          <w:tab w:val="num" w:pos="5760"/>
        </w:tabs>
        <w:ind w:left="5760" w:hanging="360"/>
      </w:pPr>
      <w:rPr>
        <w:rFonts w:ascii="Wingdings 3" w:hAnsi="Wingdings 3" w:hint="default"/>
      </w:rPr>
    </w:lvl>
    <w:lvl w:ilvl="8" w:tplc="4E3A563A"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47596204"/>
    <w:multiLevelType w:val="hybridMultilevel"/>
    <w:tmpl w:val="0B0045CE"/>
    <w:lvl w:ilvl="0" w:tplc="7D50E684">
      <w:start w:val="1"/>
      <w:numFmt w:val="decimal"/>
      <w:pStyle w:val="NumberedList"/>
      <w:lvlText w:val="%1."/>
      <w:lvlJc w:val="left"/>
      <w:pPr>
        <w:ind w:left="720" w:hanging="360"/>
      </w:pPr>
      <w:rPr>
        <w:rFonts w:hint="default"/>
        <w:b/>
        <w:bCs/>
        <w:color w:val="7A232F" w:themeColor="accent2"/>
      </w:rPr>
    </w:lvl>
    <w:lvl w:ilvl="1" w:tplc="A7B451E2">
      <w:start w:val="1"/>
      <w:numFmt w:val="lowerLetter"/>
      <w:lvlText w:val="%2."/>
      <w:lvlJc w:val="left"/>
      <w:pPr>
        <w:ind w:left="1368" w:hanging="288"/>
      </w:pPr>
      <w:rPr>
        <w:rFonts w:hint="default"/>
        <w:color w:val="2C5261" w:themeColor="accent1"/>
      </w:rPr>
    </w:lvl>
    <w:lvl w:ilvl="2" w:tplc="8CF294C0">
      <w:start w:val="1"/>
      <w:numFmt w:val="lowerRoman"/>
      <w:lvlText w:val=" %3."/>
      <w:lvlJc w:val="right"/>
      <w:pPr>
        <w:ind w:left="2016" w:hanging="216"/>
      </w:pPr>
      <w:rPr>
        <w:rFonts w:hint="default"/>
        <w:color w:val="636363" w:themeColor="accent3" w:themeTint="BF"/>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D6389"/>
    <w:multiLevelType w:val="hybridMultilevel"/>
    <w:tmpl w:val="743E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967704"/>
    <w:multiLevelType w:val="hybridMultilevel"/>
    <w:tmpl w:val="759C5E6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6D8631C"/>
    <w:multiLevelType w:val="hybridMultilevel"/>
    <w:tmpl w:val="CB729292"/>
    <w:lvl w:ilvl="0" w:tplc="5E6A5D60">
      <w:start w:val="1"/>
      <w:numFmt w:val="bullet"/>
      <w:pStyle w:val="ListParagraph"/>
      <w:lvlText w:val=""/>
      <w:lvlJc w:val="left"/>
      <w:pPr>
        <w:ind w:left="720" w:hanging="360"/>
      </w:pPr>
      <w:rPr>
        <w:rFonts w:ascii="Wingdings 3" w:hAnsi="Wingdings 3" w:hint="default"/>
        <w:color w:val="7A232F" w:themeColor="accent2"/>
      </w:rPr>
    </w:lvl>
    <w:lvl w:ilvl="1" w:tplc="BA6A14FE">
      <w:start w:val="1"/>
      <w:numFmt w:val="bullet"/>
      <w:lvlText w:val=""/>
      <w:lvlJc w:val="left"/>
      <w:pPr>
        <w:ind w:left="1368" w:hanging="288"/>
      </w:pPr>
      <w:rPr>
        <w:rFonts w:ascii="Wingdings 3" w:hAnsi="Wingdings 3" w:hint="default"/>
        <w:color w:val="005A7C" w:themeColor="accent6"/>
      </w:rPr>
    </w:lvl>
    <w:lvl w:ilvl="2" w:tplc="B41C41CE">
      <w:start w:val="1"/>
      <w:numFmt w:val="bullet"/>
      <w:lvlText w:val=""/>
      <w:lvlJc w:val="left"/>
      <w:pPr>
        <w:ind w:left="2016" w:hanging="216"/>
      </w:pPr>
      <w:rPr>
        <w:rFonts w:ascii="Wingdings 3" w:hAnsi="Wingdings 3" w:hint="default"/>
        <w:color w:val="808080" w:themeColor="background1" w:themeShade="80"/>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6F4F77"/>
    <w:multiLevelType w:val="hybridMultilevel"/>
    <w:tmpl w:val="D1FC30BE"/>
    <w:lvl w:ilvl="0" w:tplc="0409000F">
      <w:start w:val="1"/>
      <w:numFmt w:val="decimal"/>
      <w:lvlText w:val="%1."/>
      <w:lvlJc w:val="left"/>
      <w:pPr>
        <w:ind w:left="720" w:hanging="360"/>
      </w:pPr>
    </w:lvl>
    <w:lvl w:ilvl="1" w:tplc="E5C2D75E">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48A352"/>
    <w:multiLevelType w:val="hybridMultilevel"/>
    <w:tmpl w:val="CDF23182"/>
    <w:lvl w:ilvl="0" w:tplc="04090005">
      <w:start w:val="1"/>
      <w:numFmt w:val="bullet"/>
      <w:lvlText w:val=""/>
      <w:lvlJc w:val="left"/>
      <w:pPr>
        <w:ind w:left="720" w:hanging="360"/>
      </w:pPr>
      <w:rPr>
        <w:rFonts w:ascii="Wingdings" w:hAnsi="Wingdings" w:hint="default"/>
      </w:rPr>
    </w:lvl>
    <w:lvl w:ilvl="1" w:tplc="312A8B52">
      <w:start w:val="1"/>
      <w:numFmt w:val="bullet"/>
      <w:lvlText w:val="o"/>
      <w:lvlJc w:val="left"/>
      <w:pPr>
        <w:ind w:left="1440" w:hanging="360"/>
      </w:pPr>
      <w:rPr>
        <w:rFonts w:ascii="Courier New" w:hAnsi="Courier New" w:hint="default"/>
      </w:rPr>
    </w:lvl>
    <w:lvl w:ilvl="2" w:tplc="5A500ABE">
      <w:start w:val="1"/>
      <w:numFmt w:val="bullet"/>
      <w:lvlText w:val=""/>
      <w:lvlJc w:val="left"/>
      <w:pPr>
        <w:ind w:left="2160" w:hanging="360"/>
      </w:pPr>
      <w:rPr>
        <w:rFonts w:ascii="Wingdings" w:hAnsi="Wingdings" w:hint="default"/>
      </w:rPr>
    </w:lvl>
    <w:lvl w:ilvl="3" w:tplc="5E30D314">
      <w:start w:val="1"/>
      <w:numFmt w:val="bullet"/>
      <w:lvlText w:val=""/>
      <w:lvlJc w:val="left"/>
      <w:pPr>
        <w:ind w:left="2880" w:hanging="360"/>
      </w:pPr>
      <w:rPr>
        <w:rFonts w:ascii="Symbol" w:hAnsi="Symbol" w:hint="default"/>
      </w:rPr>
    </w:lvl>
    <w:lvl w:ilvl="4" w:tplc="240C2CCA">
      <w:start w:val="1"/>
      <w:numFmt w:val="bullet"/>
      <w:lvlText w:val="o"/>
      <w:lvlJc w:val="left"/>
      <w:pPr>
        <w:ind w:left="3600" w:hanging="360"/>
      </w:pPr>
      <w:rPr>
        <w:rFonts w:ascii="Courier New" w:hAnsi="Courier New" w:hint="default"/>
      </w:rPr>
    </w:lvl>
    <w:lvl w:ilvl="5" w:tplc="A5C85D42">
      <w:start w:val="1"/>
      <w:numFmt w:val="bullet"/>
      <w:lvlText w:val=""/>
      <w:lvlJc w:val="left"/>
      <w:pPr>
        <w:ind w:left="4320" w:hanging="360"/>
      </w:pPr>
      <w:rPr>
        <w:rFonts w:ascii="Wingdings" w:hAnsi="Wingdings" w:hint="default"/>
      </w:rPr>
    </w:lvl>
    <w:lvl w:ilvl="6" w:tplc="418600F4">
      <w:start w:val="1"/>
      <w:numFmt w:val="bullet"/>
      <w:lvlText w:val=""/>
      <w:lvlJc w:val="left"/>
      <w:pPr>
        <w:ind w:left="5040" w:hanging="360"/>
      </w:pPr>
      <w:rPr>
        <w:rFonts w:ascii="Symbol" w:hAnsi="Symbol" w:hint="default"/>
      </w:rPr>
    </w:lvl>
    <w:lvl w:ilvl="7" w:tplc="EC4481AE">
      <w:start w:val="1"/>
      <w:numFmt w:val="bullet"/>
      <w:lvlText w:val="o"/>
      <w:lvlJc w:val="left"/>
      <w:pPr>
        <w:ind w:left="5760" w:hanging="360"/>
      </w:pPr>
      <w:rPr>
        <w:rFonts w:ascii="Courier New" w:hAnsi="Courier New" w:hint="default"/>
      </w:rPr>
    </w:lvl>
    <w:lvl w:ilvl="8" w:tplc="87F8D2AC">
      <w:start w:val="1"/>
      <w:numFmt w:val="bullet"/>
      <w:lvlText w:val=""/>
      <w:lvlJc w:val="left"/>
      <w:pPr>
        <w:ind w:left="6480" w:hanging="360"/>
      </w:pPr>
      <w:rPr>
        <w:rFonts w:ascii="Wingdings" w:hAnsi="Wingdings" w:hint="default"/>
      </w:rPr>
    </w:lvl>
  </w:abstractNum>
  <w:abstractNum w:abstractNumId="17" w15:restartNumberingAfterBreak="0">
    <w:nsid w:val="5E246533"/>
    <w:multiLevelType w:val="hybridMultilevel"/>
    <w:tmpl w:val="69B26758"/>
    <w:lvl w:ilvl="0" w:tplc="1D3845D2">
      <w:start w:val="1"/>
      <w:numFmt w:val="bullet"/>
      <w:lvlText w:val=""/>
      <w:lvlJc w:val="left"/>
      <w:pPr>
        <w:tabs>
          <w:tab w:val="num" w:pos="720"/>
        </w:tabs>
        <w:ind w:left="720" w:hanging="360"/>
      </w:pPr>
      <w:rPr>
        <w:rFonts w:ascii="Wingdings" w:hAnsi="Wingdings" w:hint="default"/>
      </w:rPr>
    </w:lvl>
    <w:lvl w:ilvl="1" w:tplc="10F4BEE8">
      <w:numFmt w:val="bullet"/>
      <w:lvlText w:val=""/>
      <w:lvlJc w:val="left"/>
      <w:pPr>
        <w:tabs>
          <w:tab w:val="num" w:pos="1440"/>
        </w:tabs>
        <w:ind w:left="1440" w:hanging="360"/>
      </w:pPr>
      <w:rPr>
        <w:rFonts w:ascii="Wingdings" w:hAnsi="Wingdings" w:hint="default"/>
      </w:rPr>
    </w:lvl>
    <w:lvl w:ilvl="2" w:tplc="78AE4FC2" w:tentative="1">
      <w:start w:val="1"/>
      <w:numFmt w:val="bullet"/>
      <w:lvlText w:val=""/>
      <w:lvlJc w:val="left"/>
      <w:pPr>
        <w:tabs>
          <w:tab w:val="num" w:pos="2160"/>
        </w:tabs>
        <w:ind w:left="2160" w:hanging="360"/>
      </w:pPr>
      <w:rPr>
        <w:rFonts w:ascii="Wingdings" w:hAnsi="Wingdings" w:hint="default"/>
      </w:rPr>
    </w:lvl>
    <w:lvl w:ilvl="3" w:tplc="5BA8A65A" w:tentative="1">
      <w:start w:val="1"/>
      <w:numFmt w:val="bullet"/>
      <w:lvlText w:val=""/>
      <w:lvlJc w:val="left"/>
      <w:pPr>
        <w:tabs>
          <w:tab w:val="num" w:pos="2880"/>
        </w:tabs>
        <w:ind w:left="2880" w:hanging="360"/>
      </w:pPr>
      <w:rPr>
        <w:rFonts w:ascii="Wingdings" w:hAnsi="Wingdings" w:hint="default"/>
      </w:rPr>
    </w:lvl>
    <w:lvl w:ilvl="4" w:tplc="45AA04D2" w:tentative="1">
      <w:start w:val="1"/>
      <w:numFmt w:val="bullet"/>
      <w:lvlText w:val=""/>
      <w:lvlJc w:val="left"/>
      <w:pPr>
        <w:tabs>
          <w:tab w:val="num" w:pos="3600"/>
        </w:tabs>
        <w:ind w:left="3600" w:hanging="360"/>
      </w:pPr>
      <w:rPr>
        <w:rFonts w:ascii="Wingdings" w:hAnsi="Wingdings" w:hint="default"/>
      </w:rPr>
    </w:lvl>
    <w:lvl w:ilvl="5" w:tplc="6A245226" w:tentative="1">
      <w:start w:val="1"/>
      <w:numFmt w:val="bullet"/>
      <w:lvlText w:val=""/>
      <w:lvlJc w:val="left"/>
      <w:pPr>
        <w:tabs>
          <w:tab w:val="num" w:pos="4320"/>
        </w:tabs>
        <w:ind w:left="4320" w:hanging="360"/>
      </w:pPr>
      <w:rPr>
        <w:rFonts w:ascii="Wingdings" w:hAnsi="Wingdings" w:hint="default"/>
      </w:rPr>
    </w:lvl>
    <w:lvl w:ilvl="6" w:tplc="089EE88E" w:tentative="1">
      <w:start w:val="1"/>
      <w:numFmt w:val="bullet"/>
      <w:lvlText w:val=""/>
      <w:lvlJc w:val="left"/>
      <w:pPr>
        <w:tabs>
          <w:tab w:val="num" w:pos="5040"/>
        </w:tabs>
        <w:ind w:left="5040" w:hanging="360"/>
      </w:pPr>
      <w:rPr>
        <w:rFonts w:ascii="Wingdings" w:hAnsi="Wingdings" w:hint="default"/>
      </w:rPr>
    </w:lvl>
    <w:lvl w:ilvl="7" w:tplc="4CE07DF4" w:tentative="1">
      <w:start w:val="1"/>
      <w:numFmt w:val="bullet"/>
      <w:lvlText w:val=""/>
      <w:lvlJc w:val="left"/>
      <w:pPr>
        <w:tabs>
          <w:tab w:val="num" w:pos="5760"/>
        </w:tabs>
        <w:ind w:left="5760" w:hanging="360"/>
      </w:pPr>
      <w:rPr>
        <w:rFonts w:ascii="Wingdings" w:hAnsi="Wingdings" w:hint="default"/>
      </w:rPr>
    </w:lvl>
    <w:lvl w:ilvl="8" w:tplc="6AC0E84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E633C"/>
    <w:multiLevelType w:val="hybridMultilevel"/>
    <w:tmpl w:val="97E8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4C4EA5"/>
    <w:multiLevelType w:val="hybridMultilevel"/>
    <w:tmpl w:val="9B64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E361D1"/>
    <w:multiLevelType w:val="multilevel"/>
    <w:tmpl w:val="2CAE65A4"/>
    <w:lvl w:ilvl="0">
      <w:start w:val="1"/>
      <w:numFmt w:val="decimal"/>
      <w:lvlText w:val="%1."/>
      <w:lvlJc w:val="left"/>
      <w:pPr>
        <w:ind w:left="720" w:hanging="360"/>
      </w:pPr>
      <w:rPr>
        <w:rFonts w:hint="default"/>
        <w:b/>
        <w:bCs/>
        <w:color w:val="7A232F" w:themeColor="accent2"/>
      </w:rPr>
    </w:lvl>
    <w:lvl w:ilvl="1">
      <w:start w:val="1"/>
      <w:numFmt w:val="lowerLetter"/>
      <w:lvlText w:val="%2."/>
      <w:lvlJc w:val="left"/>
      <w:pPr>
        <w:ind w:left="1368" w:hanging="288"/>
      </w:pPr>
      <w:rPr>
        <w:rFonts w:hint="default"/>
        <w:color w:val="2C5261"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BA24E21"/>
    <w:multiLevelType w:val="hybridMultilevel"/>
    <w:tmpl w:val="2EC4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3357EC"/>
    <w:multiLevelType w:val="hybridMultilevel"/>
    <w:tmpl w:val="EAC65B9E"/>
    <w:lvl w:ilvl="0" w:tplc="0409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num w:numId="1" w16cid:durableId="140730606">
    <w:abstractNumId w:val="15"/>
  </w:num>
  <w:num w:numId="2" w16cid:durableId="1719233724">
    <w:abstractNumId w:val="14"/>
  </w:num>
  <w:num w:numId="3" w16cid:durableId="342440293">
    <w:abstractNumId w:val="11"/>
  </w:num>
  <w:num w:numId="4" w16cid:durableId="1712150700">
    <w:abstractNumId w:val="14"/>
    <w:lvlOverride w:ilvl="0">
      <w:startOverride w:val="1"/>
    </w:lvlOverride>
  </w:num>
  <w:num w:numId="5" w16cid:durableId="1942180855">
    <w:abstractNumId w:val="8"/>
  </w:num>
  <w:num w:numId="6" w16cid:durableId="21831910">
    <w:abstractNumId w:val="14"/>
    <w:lvlOverride w:ilvl="0">
      <w:startOverride w:val="1"/>
    </w:lvlOverride>
  </w:num>
  <w:num w:numId="7" w16cid:durableId="2077508368">
    <w:abstractNumId w:val="20"/>
  </w:num>
  <w:num w:numId="8" w16cid:durableId="230968263">
    <w:abstractNumId w:val="17"/>
  </w:num>
  <w:num w:numId="9" w16cid:durableId="1745645019">
    <w:abstractNumId w:val="10"/>
  </w:num>
  <w:num w:numId="10" w16cid:durableId="1262684549">
    <w:abstractNumId w:val="16"/>
  </w:num>
  <w:num w:numId="11" w16cid:durableId="499395661">
    <w:abstractNumId w:val="12"/>
  </w:num>
  <w:num w:numId="12" w16cid:durableId="39282430">
    <w:abstractNumId w:val="0"/>
  </w:num>
  <w:num w:numId="13" w16cid:durableId="377242319">
    <w:abstractNumId w:val="13"/>
  </w:num>
  <w:num w:numId="14" w16cid:durableId="1133332737">
    <w:abstractNumId w:val="22"/>
  </w:num>
  <w:num w:numId="15" w16cid:durableId="563372069">
    <w:abstractNumId w:val="6"/>
  </w:num>
  <w:num w:numId="16" w16cid:durableId="1210923656">
    <w:abstractNumId w:val="4"/>
  </w:num>
  <w:num w:numId="17" w16cid:durableId="1438327813">
    <w:abstractNumId w:val="2"/>
  </w:num>
  <w:num w:numId="18" w16cid:durableId="1157451404">
    <w:abstractNumId w:val="7"/>
  </w:num>
  <w:num w:numId="19" w16cid:durableId="484929996">
    <w:abstractNumId w:val="18"/>
  </w:num>
  <w:num w:numId="20" w16cid:durableId="1830439219">
    <w:abstractNumId w:val="19"/>
  </w:num>
  <w:num w:numId="21" w16cid:durableId="2132818548">
    <w:abstractNumId w:val="9"/>
  </w:num>
  <w:num w:numId="22" w16cid:durableId="761218606">
    <w:abstractNumId w:val="1"/>
  </w:num>
  <w:num w:numId="23" w16cid:durableId="1888763605">
    <w:abstractNumId w:val="5"/>
  </w:num>
  <w:num w:numId="24" w16cid:durableId="90901431">
    <w:abstractNumId w:val="3"/>
  </w:num>
  <w:num w:numId="25" w16cid:durableId="16272728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21"/>
    <w:rsid w:val="000003D4"/>
    <w:rsid w:val="0000254C"/>
    <w:rsid w:val="0000315A"/>
    <w:rsid w:val="00003533"/>
    <w:rsid w:val="0001189A"/>
    <w:rsid w:val="0001473B"/>
    <w:rsid w:val="000231D2"/>
    <w:rsid w:val="00024223"/>
    <w:rsid w:val="00024B2F"/>
    <w:rsid w:val="0002611A"/>
    <w:rsid w:val="00027F26"/>
    <w:rsid w:val="00052A0B"/>
    <w:rsid w:val="0005632B"/>
    <w:rsid w:val="00057543"/>
    <w:rsid w:val="00064346"/>
    <w:rsid w:val="00066B73"/>
    <w:rsid w:val="00067304"/>
    <w:rsid w:val="00071628"/>
    <w:rsid w:val="00074B36"/>
    <w:rsid w:val="00074EC3"/>
    <w:rsid w:val="000823F7"/>
    <w:rsid w:val="000841AF"/>
    <w:rsid w:val="000A2994"/>
    <w:rsid w:val="000A31D9"/>
    <w:rsid w:val="000B12CA"/>
    <w:rsid w:val="000B3D74"/>
    <w:rsid w:val="000B4A3C"/>
    <w:rsid w:val="000D2D2A"/>
    <w:rsid w:val="000D4455"/>
    <w:rsid w:val="000D617B"/>
    <w:rsid w:val="000D7907"/>
    <w:rsid w:val="000E3C32"/>
    <w:rsid w:val="000F21D1"/>
    <w:rsid w:val="000F6F4D"/>
    <w:rsid w:val="00103D7F"/>
    <w:rsid w:val="00113C12"/>
    <w:rsid w:val="00125990"/>
    <w:rsid w:val="00131909"/>
    <w:rsid w:val="00143DB6"/>
    <w:rsid w:val="00145624"/>
    <w:rsid w:val="00145CDE"/>
    <w:rsid w:val="00155234"/>
    <w:rsid w:val="0015647A"/>
    <w:rsid w:val="00161CE5"/>
    <w:rsid w:val="0017224D"/>
    <w:rsid w:val="00177AED"/>
    <w:rsid w:val="001972EE"/>
    <w:rsid w:val="001B5131"/>
    <w:rsid w:val="001B79E9"/>
    <w:rsid w:val="001C1B29"/>
    <w:rsid w:val="001D2EF9"/>
    <w:rsid w:val="001D2F92"/>
    <w:rsid w:val="001D411C"/>
    <w:rsid w:val="001D4E22"/>
    <w:rsid w:val="001D75F4"/>
    <w:rsid w:val="001E073D"/>
    <w:rsid w:val="001E55B8"/>
    <w:rsid w:val="001F151B"/>
    <w:rsid w:val="001F1FBF"/>
    <w:rsid w:val="001F336E"/>
    <w:rsid w:val="00202121"/>
    <w:rsid w:val="00202519"/>
    <w:rsid w:val="00203AB8"/>
    <w:rsid w:val="002153A8"/>
    <w:rsid w:val="0021589F"/>
    <w:rsid w:val="00226173"/>
    <w:rsid w:val="00227454"/>
    <w:rsid w:val="002310A7"/>
    <w:rsid w:val="002333CA"/>
    <w:rsid w:val="00234C41"/>
    <w:rsid w:val="0023543C"/>
    <w:rsid w:val="0024007A"/>
    <w:rsid w:val="00244692"/>
    <w:rsid w:val="002505EB"/>
    <w:rsid w:val="00253ECC"/>
    <w:rsid w:val="00254175"/>
    <w:rsid w:val="00256629"/>
    <w:rsid w:val="00266E06"/>
    <w:rsid w:val="00273924"/>
    <w:rsid w:val="002757E0"/>
    <w:rsid w:val="00293FEA"/>
    <w:rsid w:val="00295440"/>
    <w:rsid w:val="00297701"/>
    <w:rsid w:val="002A1041"/>
    <w:rsid w:val="002A5E22"/>
    <w:rsid w:val="002C31CF"/>
    <w:rsid w:val="002D2098"/>
    <w:rsid w:val="002E57D5"/>
    <w:rsid w:val="002E740B"/>
    <w:rsid w:val="002F2D5C"/>
    <w:rsid w:val="002F38A2"/>
    <w:rsid w:val="002F48E5"/>
    <w:rsid w:val="002F6DD1"/>
    <w:rsid w:val="00300352"/>
    <w:rsid w:val="003006DF"/>
    <w:rsid w:val="00304247"/>
    <w:rsid w:val="00311C44"/>
    <w:rsid w:val="00312AAF"/>
    <w:rsid w:val="0031354B"/>
    <w:rsid w:val="00314F4B"/>
    <w:rsid w:val="0031547B"/>
    <w:rsid w:val="003202EC"/>
    <w:rsid w:val="00322007"/>
    <w:rsid w:val="00324E31"/>
    <w:rsid w:val="00330251"/>
    <w:rsid w:val="00330B13"/>
    <w:rsid w:val="00341B5D"/>
    <w:rsid w:val="00341D8B"/>
    <w:rsid w:val="003516B4"/>
    <w:rsid w:val="00353661"/>
    <w:rsid w:val="003571AC"/>
    <w:rsid w:val="00357D6F"/>
    <w:rsid w:val="0037430A"/>
    <w:rsid w:val="00377C29"/>
    <w:rsid w:val="0038340B"/>
    <w:rsid w:val="0038426F"/>
    <w:rsid w:val="003906C9"/>
    <w:rsid w:val="003939D0"/>
    <w:rsid w:val="003A201E"/>
    <w:rsid w:val="003A5FCE"/>
    <w:rsid w:val="003A7191"/>
    <w:rsid w:val="003C14DF"/>
    <w:rsid w:val="003C7B24"/>
    <w:rsid w:val="003D089C"/>
    <w:rsid w:val="003D0D75"/>
    <w:rsid w:val="003D60F6"/>
    <w:rsid w:val="003E31E2"/>
    <w:rsid w:val="003E5A26"/>
    <w:rsid w:val="003F57DF"/>
    <w:rsid w:val="004009E7"/>
    <w:rsid w:val="00407699"/>
    <w:rsid w:val="00410F25"/>
    <w:rsid w:val="004170BD"/>
    <w:rsid w:val="00422FA7"/>
    <w:rsid w:val="004230DD"/>
    <w:rsid w:val="00424311"/>
    <w:rsid w:val="00431475"/>
    <w:rsid w:val="00432A99"/>
    <w:rsid w:val="00436A11"/>
    <w:rsid w:val="0044667F"/>
    <w:rsid w:val="004471EF"/>
    <w:rsid w:val="004620DE"/>
    <w:rsid w:val="00476830"/>
    <w:rsid w:val="004773B3"/>
    <w:rsid w:val="00485F6B"/>
    <w:rsid w:val="00491A8F"/>
    <w:rsid w:val="0049439D"/>
    <w:rsid w:val="00494BC6"/>
    <w:rsid w:val="00496B38"/>
    <w:rsid w:val="00496DE7"/>
    <w:rsid w:val="004A2B62"/>
    <w:rsid w:val="004A68E0"/>
    <w:rsid w:val="004A703D"/>
    <w:rsid w:val="004B5F1F"/>
    <w:rsid w:val="004C1650"/>
    <w:rsid w:val="004D1FD9"/>
    <w:rsid w:val="004E042C"/>
    <w:rsid w:val="004E5E26"/>
    <w:rsid w:val="004F28B2"/>
    <w:rsid w:val="00502E67"/>
    <w:rsid w:val="00504048"/>
    <w:rsid w:val="00506C3E"/>
    <w:rsid w:val="005161CF"/>
    <w:rsid w:val="00522AB1"/>
    <w:rsid w:val="0052422C"/>
    <w:rsid w:val="0053208E"/>
    <w:rsid w:val="00533D44"/>
    <w:rsid w:val="00535DCF"/>
    <w:rsid w:val="005419F1"/>
    <w:rsid w:val="0055128A"/>
    <w:rsid w:val="00551346"/>
    <w:rsid w:val="005521B9"/>
    <w:rsid w:val="005547A5"/>
    <w:rsid w:val="005712AB"/>
    <w:rsid w:val="00574C3C"/>
    <w:rsid w:val="00596307"/>
    <w:rsid w:val="005A601A"/>
    <w:rsid w:val="005A6FC6"/>
    <w:rsid w:val="005A7D10"/>
    <w:rsid w:val="005B063B"/>
    <w:rsid w:val="005B626E"/>
    <w:rsid w:val="005B635B"/>
    <w:rsid w:val="005B6F7F"/>
    <w:rsid w:val="005C0251"/>
    <w:rsid w:val="005C42F6"/>
    <w:rsid w:val="005C65A0"/>
    <w:rsid w:val="005C77F0"/>
    <w:rsid w:val="005C785C"/>
    <w:rsid w:val="005D0752"/>
    <w:rsid w:val="005D2414"/>
    <w:rsid w:val="005F403A"/>
    <w:rsid w:val="0060019D"/>
    <w:rsid w:val="006005E5"/>
    <w:rsid w:val="0060606F"/>
    <w:rsid w:val="00606978"/>
    <w:rsid w:val="00607795"/>
    <w:rsid w:val="00613E32"/>
    <w:rsid w:val="00626935"/>
    <w:rsid w:val="00626D5F"/>
    <w:rsid w:val="00631547"/>
    <w:rsid w:val="00634A56"/>
    <w:rsid w:val="00635A95"/>
    <w:rsid w:val="00635DED"/>
    <w:rsid w:val="00635F45"/>
    <w:rsid w:val="006360BC"/>
    <w:rsid w:val="00643943"/>
    <w:rsid w:val="00644D17"/>
    <w:rsid w:val="00651BEC"/>
    <w:rsid w:val="00660CE6"/>
    <w:rsid w:val="00660FB5"/>
    <w:rsid w:val="006654CC"/>
    <w:rsid w:val="00667C63"/>
    <w:rsid w:val="00672EC5"/>
    <w:rsid w:val="00677AF2"/>
    <w:rsid w:val="0068091C"/>
    <w:rsid w:val="006832CF"/>
    <w:rsid w:val="006855CE"/>
    <w:rsid w:val="00686150"/>
    <w:rsid w:val="00686F8E"/>
    <w:rsid w:val="00691D83"/>
    <w:rsid w:val="00693FC1"/>
    <w:rsid w:val="00697A8B"/>
    <w:rsid w:val="006A190A"/>
    <w:rsid w:val="006B1992"/>
    <w:rsid w:val="006D32CA"/>
    <w:rsid w:val="006D7AA8"/>
    <w:rsid w:val="006D7B8A"/>
    <w:rsid w:val="006E0CFA"/>
    <w:rsid w:val="006E1E73"/>
    <w:rsid w:val="006E575A"/>
    <w:rsid w:val="006F065F"/>
    <w:rsid w:val="00704F82"/>
    <w:rsid w:val="00711E4A"/>
    <w:rsid w:val="007206E7"/>
    <w:rsid w:val="00721AE0"/>
    <w:rsid w:val="00726819"/>
    <w:rsid w:val="00735E9B"/>
    <w:rsid w:val="00742DB0"/>
    <w:rsid w:val="00743AE2"/>
    <w:rsid w:val="0074409C"/>
    <w:rsid w:val="00745174"/>
    <w:rsid w:val="0075130C"/>
    <w:rsid w:val="007815E3"/>
    <w:rsid w:val="00797542"/>
    <w:rsid w:val="007A02DF"/>
    <w:rsid w:val="007A44D1"/>
    <w:rsid w:val="007A5C9F"/>
    <w:rsid w:val="007B01FE"/>
    <w:rsid w:val="007B1BA2"/>
    <w:rsid w:val="007B3B96"/>
    <w:rsid w:val="007B51CE"/>
    <w:rsid w:val="007B5618"/>
    <w:rsid w:val="007B5DD0"/>
    <w:rsid w:val="007C21E2"/>
    <w:rsid w:val="007C5531"/>
    <w:rsid w:val="007C70C6"/>
    <w:rsid w:val="007D06C9"/>
    <w:rsid w:val="007D3A0C"/>
    <w:rsid w:val="007D58FC"/>
    <w:rsid w:val="007D7CEF"/>
    <w:rsid w:val="007F1B7C"/>
    <w:rsid w:val="007F3E54"/>
    <w:rsid w:val="007F6A8A"/>
    <w:rsid w:val="00802E95"/>
    <w:rsid w:val="008034E4"/>
    <w:rsid w:val="00804AE7"/>
    <w:rsid w:val="00813502"/>
    <w:rsid w:val="00830E10"/>
    <w:rsid w:val="008370CF"/>
    <w:rsid w:val="00843B1E"/>
    <w:rsid w:val="00844469"/>
    <w:rsid w:val="00850E08"/>
    <w:rsid w:val="00852407"/>
    <w:rsid w:val="00860BCD"/>
    <w:rsid w:val="008677B3"/>
    <w:rsid w:val="00876C68"/>
    <w:rsid w:val="00880CB0"/>
    <w:rsid w:val="008842A2"/>
    <w:rsid w:val="008878F7"/>
    <w:rsid w:val="00896F6D"/>
    <w:rsid w:val="00897C69"/>
    <w:rsid w:val="008A4602"/>
    <w:rsid w:val="008A5E48"/>
    <w:rsid w:val="008B5AD3"/>
    <w:rsid w:val="008C7BD6"/>
    <w:rsid w:val="008F40D9"/>
    <w:rsid w:val="008F4EDD"/>
    <w:rsid w:val="008F64ED"/>
    <w:rsid w:val="008F6F58"/>
    <w:rsid w:val="00900D77"/>
    <w:rsid w:val="00904343"/>
    <w:rsid w:val="00905ED6"/>
    <w:rsid w:val="00907341"/>
    <w:rsid w:val="009338AE"/>
    <w:rsid w:val="009363DB"/>
    <w:rsid w:val="0094024C"/>
    <w:rsid w:val="00940962"/>
    <w:rsid w:val="00942E9D"/>
    <w:rsid w:val="00943A3D"/>
    <w:rsid w:val="00954776"/>
    <w:rsid w:val="00955D0E"/>
    <w:rsid w:val="00961EE9"/>
    <w:rsid w:val="00970099"/>
    <w:rsid w:val="00972D4F"/>
    <w:rsid w:val="009770B2"/>
    <w:rsid w:val="009775EE"/>
    <w:rsid w:val="00982AF0"/>
    <w:rsid w:val="009852B3"/>
    <w:rsid w:val="00985902"/>
    <w:rsid w:val="00992005"/>
    <w:rsid w:val="009A0E42"/>
    <w:rsid w:val="009A3429"/>
    <w:rsid w:val="009A38B0"/>
    <w:rsid w:val="009A5CDB"/>
    <w:rsid w:val="009B4393"/>
    <w:rsid w:val="009C1C66"/>
    <w:rsid w:val="009C7CD7"/>
    <w:rsid w:val="009D37D0"/>
    <w:rsid w:val="009D4777"/>
    <w:rsid w:val="009F23BA"/>
    <w:rsid w:val="009F605E"/>
    <w:rsid w:val="00A001BD"/>
    <w:rsid w:val="00A24E79"/>
    <w:rsid w:val="00A30472"/>
    <w:rsid w:val="00A33E9E"/>
    <w:rsid w:val="00A4192D"/>
    <w:rsid w:val="00A41E68"/>
    <w:rsid w:val="00A477C0"/>
    <w:rsid w:val="00A503BD"/>
    <w:rsid w:val="00A53B5E"/>
    <w:rsid w:val="00A60B88"/>
    <w:rsid w:val="00A63353"/>
    <w:rsid w:val="00A65A0C"/>
    <w:rsid w:val="00A710F1"/>
    <w:rsid w:val="00A722FC"/>
    <w:rsid w:val="00A74134"/>
    <w:rsid w:val="00A807D8"/>
    <w:rsid w:val="00A93137"/>
    <w:rsid w:val="00A93B3C"/>
    <w:rsid w:val="00A959D1"/>
    <w:rsid w:val="00A96C84"/>
    <w:rsid w:val="00AA0368"/>
    <w:rsid w:val="00AA2124"/>
    <w:rsid w:val="00AA322E"/>
    <w:rsid w:val="00AA3A00"/>
    <w:rsid w:val="00AA609F"/>
    <w:rsid w:val="00AB0D23"/>
    <w:rsid w:val="00AB169A"/>
    <w:rsid w:val="00AB517B"/>
    <w:rsid w:val="00AB5BB4"/>
    <w:rsid w:val="00AC7BD1"/>
    <w:rsid w:val="00AD3C47"/>
    <w:rsid w:val="00AD590B"/>
    <w:rsid w:val="00AD67BC"/>
    <w:rsid w:val="00AE5F26"/>
    <w:rsid w:val="00AF3503"/>
    <w:rsid w:val="00B23C2D"/>
    <w:rsid w:val="00B276D7"/>
    <w:rsid w:val="00B3216E"/>
    <w:rsid w:val="00B32FB2"/>
    <w:rsid w:val="00B333CA"/>
    <w:rsid w:val="00B338FC"/>
    <w:rsid w:val="00B35BA2"/>
    <w:rsid w:val="00B4235C"/>
    <w:rsid w:val="00B50F0B"/>
    <w:rsid w:val="00B563FF"/>
    <w:rsid w:val="00B57B7C"/>
    <w:rsid w:val="00B80CA2"/>
    <w:rsid w:val="00B8479B"/>
    <w:rsid w:val="00BA3DC6"/>
    <w:rsid w:val="00BA5DA9"/>
    <w:rsid w:val="00BA7A9B"/>
    <w:rsid w:val="00BB27E5"/>
    <w:rsid w:val="00BB4DA1"/>
    <w:rsid w:val="00BC6AFB"/>
    <w:rsid w:val="00BD275E"/>
    <w:rsid w:val="00BE39EB"/>
    <w:rsid w:val="00BF01F6"/>
    <w:rsid w:val="00BF33D2"/>
    <w:rsid w:val="00BF4047"/>
    <w:rsid w:val="00C06E82"/>
    <w:rsid w:val="00C10C63"/>
    <w:rsid w:val="00C15186"/>
    <w:rsid w:val="00C176A9"/>
    <w:rsid w:val="00C230BC"/>
    <w:rsid w:val="00C23400"/>
    <w:rsid w:val="00C24CD7"/>
    <w:rsid w:val="00C429B2"/>
    <w:rsid w:val="00C4408D"/>
    <w:rsid w:val="00C53547"/>
    <w:rsid w:val="00C53EE5"/>
    <w:rsid w:val="00C5412A"/>
    <w:rsid w:val="00C60798"/>
    <w:rsid w:val="00C62827"/>
    <w:rsid w:val="00C65FEF"/>
    <w:rsid w:val="00C66A0C"/>
    <w:rsid w:val="00C71B3B"/>
    <w:rsid w:val="00C92AF9"/>
    <w:rsid w:val="00C964EC"/>
    <w:rsid w:val="00CA0B63"/>
    <w:rsid w:val="00CA73DC"/>
    <w:rsid w:val="00CB51F0"/>
    <w:rsid w:val="00CC204B"/>
    <w:rsid w:val="00CC5984"/>
    <w:rsid w:val="00CC5DA9"/>
    <w:rsid w:val="00CC65BD"/>
    <w:rsid w:val="00CD2425"/>
    <w:rsid w:val="00CD4ED3"/>
    <w:rsid w:val="00CD5EFA"/>
    <w:rsid w:val="00CD6628"/>
    <w:rsid w:val="00CE339B"/>
    <w:rsid w:val="00CE378D"/>
    <w:rsid w:val="00CF0508"/>
    <w:rsid w:val="00CF1689"/>
    <w:rsid w:val="00CF397A"/>
    <w:rsid w:val="00D17725"/>
    <w:rsid w:val="00D23074"/>
    <w:rsid w:val="00D338A2"/>
    <w:rsid w:val="00D4767F"/>
    <w:rsid w:val="00D506F4"/>
    <w:rsid w:val="00D514A3"/>
    <w:rsid w:val="00D53BF6"/>
    <w:rsid w:val="00D54129"/>
    <w:rsid w:val="00D550B7"/>
    <w:rsid w:val="00D6022E"/>
    <w:rsid w:val="00D704B2"/>
    <w:rsid w:val="00D74A3A"/>
    <w:rsid w:val="00D84059"/>
    <w:rsid w:val="00DA4EDD"/>
    <w:rsid w:val="00DB4780"/>
    <w:rsid w:val="00DC3C92"/>
    <w:rsid w:val="00DD1E34"/>
    <w:rsid w:val="00DD4B7D"/>
    <w:rsid w:val="00DF003F"/>
    <w:rsid w:val="00DF466D"/>
    <w:rsid w:val="00E0499B"/>
    <w:rsid w:val="00E04AF7"/>
    <w:rsid w:val="00E109C1"/>
    <w:rsid w:val="00E13C79"/>
    <w:rsid w:val="00E1446A"/>
    <w:rsid w:val="00E21DF7"/>
    <w:rsid w:val="00E24682"/>
    <w:rsid w:val="00E30556"/>
    <w:rsid w:val="00E32121"/>
    <w:rsid w:val="00E3288E"/>
    <w:rsid w:val="00E352A5"/>
    <w:rsid w:val="00E37A97"/>
    <w:rsid w:val="00E40A10"/>
    <w:rsid w:val="00E43699"/>
    <w:rsid w:val="00E55112"/>
    <w:rsid w:val="00E557D5"/>
    <w:rsid w:val="00E55AB1"/>
    <w:rsid w:val="00E61382"/>
    <w:rsid w:val="00E63CA6"/>
    <w:rsid w:val="00E74A03"/>
    <w:rsid w:val="00E812FE"/>
    <w:rsid w:val="00E87979"/>
    <w:rsid w:val="00EB4EB5"/>
    <w:rsid w:val="00EB527D"/>
    <w:rsid w:val="00EB5868"/>
    <w:rsid w:val="00EB6792"/>
    <w:rsid w:val="00EC41E6"/>
    <w:rsid w:val="00EC6576"/>
    <w:rsid w:val="00ED668E"/>
    <w:rsid w:val="00F16159"/>
    <w:rsid w:val="00F17711"/>
    <w:rsid w:val="00F20027"/>
    <w:rsid w:val="00F24F21"/>
    <w:rsid w:val="00F279D8"/>
    <w:rsid w:val="00F30316"/>
    <w:rsid w:val="00F42391"/>
    <w:rsid w:val="00F5397E"/>
    <w:rsid w:val="00F6406B"/>
    <w:rsid w:val="00F6789C"/>
    <w:rsid w:val="00F67CD9"/>
    <w:rsid w:val="00F71874"/>
    <w:rsid w:val="00FA3133"/>
    <w:rsid w:val="00FA3E95"/>
    <w:rsid w:val="00FC279E"/>
    <w:rsid w:val="00FD3ECF"/>
    <w:rsid w:val="00FD5A5F"/>
    <w:rsid w:val="00FD5D6E"/>
    <w:rsid w:val="00FF14F6"/>
    <w:rsid w:val="00FF249A"/>
    <w:rsid w:val="00FF2605"/>
    <w:rsid w:val="00FF3A4D"/>
    <w:rsid w:val="00FF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1DC341"/>
  <w15:chartTrackingRefBased/>
  <w15:docId w15:val="{8D7F30C2-BDC2-44A3-9B54-FD12358C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247"/>
  </w:style>
  <w:style w:type="paragraph" w:styleId="Heading1">
    <w:name w:val="heading 1"/>
    <w:basedOn w:val="Normal"/>
    <w:next w:val="Normal"/>
    <w:link w:val="Heading1Char"/>
    <w:uiPriority w:val="9"/>
    <w:qFormat/>
    <w:rsid w:val="00E40A10"/>
    <w:pPr>
      <w:keepNext/>
      <w:keepLines/>
      <w:spacing w:before="480" w:after="240" w:line="228" w:lineRule="auto"/>
      <w:outlineLvl w:val="0"/>
    </w:pPr>
    <w:rPr>
      <w:rFonts w:eastAsiaTheme="majorEastAsia" w:cstheme="minorHAnsi"/>
      <w:b/>
      <w:color w:val="9E1C30" w:themeColor="accent5"/>
      <w:sz w:val="60"/>
      <w:szCs w:val="60"/>
    </w:rPr>
  </w:style>
  <w:style w:type="paragraph" w:styleId="Heading2">
    <w:name w:val="heading 2"/>
    <w:basedOn w:val="Normal"/>
    <w:next w:val="Normal"/>
    <w:link w:val="Heading2Char"/>
    <w:uiPriority w:val="9"/>
    <w:unhideWhenUsed/>
    <w:qFormat/>
    <w:rsid w:val="007A5C9F"/>
    <w:pPr>
      <w:keepNext/>
      <w:keepLines/>
      <w:pBdr>
        <w:bottom w:val="single" w:sz="36" w:space="1" w:color="7A232F" w:themeColor="accent2"/>
      </w:pBdr>
      <w:spacing w:before="600" w:after="240"/>
      <w:outlineLvl w:val="1"/>
    </w:pPr>
    <w:rPr>
      <w:rFonts w:eastAsiaTheme="majorEastAsia" w:cstheme="minorHAnsi"/>
      <w:b/>
      <w:bCs/>
      <w:color w:val="242021" w:themeColor="text1"/>
      <w:sz w:val="36"/>
      <w:szCs w:val="26"/>
    </w:rPr>
  </w:style>
  <w:style w:type="paragraph" w:styleId="Heading3">
    <w:name w:val="heading 3"/>
    <w:basedOn w:val="Normal"/>
    <w:next w:val="Normal"/>
    <w:link w:val="Heading3Char"/>
    <w:uiPriority w:val="9"/>
    <w:unhideWhenUsed/>
    <w:qFormat/>
    <w:rsid w:val="007206E7"/>
    <w:pPr>
      <w:keepNext/>
      <w:keepLines/>
      <w:pBdr>
        <w:top w:val="single" w:sz="4" w:space="1" w:color="D9DDDD" w:themeColor="background2" w:themeShade="E6"/>
        <w:left w:val="single" w:sz="4" w:space="4" w:color="D9DDDD" w:themeColor="background2" w:themeShade="E6"/>
        <w:bottom w:val="single" w:sz="4" w:space="1" w:color="D9DDDD" w:themeColor="background2" w:themeShade="E6"/>
        <w:right w:val="single" w:sz="4" w:space="4" w:color="D9DDDD" w:themeColor="background2" w:themeShade="E6"/>
      </w:pBdr>
      <w:shd w:val="clear" w:color="auto" w:fill="F3F4F4" w:themeFill="background2"/>
      <w:spacing w:before="360" w:after="120"/>
      <w:ind w:left="101" w:right="101"/>
      <w:outlineLvl w:val="2"/>
    </w:pPr>
    <w:rPr>
      <w:rFonts w:eastAsiaTheme="majorEastAsia" w:cstheme="minorHAnsi"/>
      <w:b/>
      <w:color w:val="2C5261" w:themeColor="accent1"/>
      <w:sz w:val="29"/>
      <w:szCs w:val="29"/>
    </w:rPr>
  </w:style>
  <w:style w:type="paragraph" w:styleId="Heading4">
    <w:name w:val="heading 4"/>
    <w:basedOn w:val="Normal"/>
    <w:next w:val="Normal"/>
    <w:link w:val="Heading4Char"/>
    <w:uiPriority w:val="9"/>
    <w:unhideWhenUsed/>
    <w:qFormat/>
    <w:rsid w:val="005D0752"/>
    <w:pPr>
      <w:keepNext/>
      <w:keepLines/>
      <w:spacing w:before="240" w:after="80"/>
      <w:outlineLvl w:val="3"/>
    </w:pPr>
    <w:rPr>
      <w:rFonts w:asciiTheme="majorHAnsi" w:eastAsiaTheme="majorEastAsia" w:hAnsiTheme="majorHAnsi" w:cstheme="minorHAnsi"/>
      <w:color w:val="9E1C30" w:themeColor="accent5"/>
      <w:sz w:val="28"/>
      <w:szCs w:val="28"/>
    </w:rPr>
  </w:style>
  <w:style w:type="paragraph" w:styleId="Heading5">
    <w:name w:val="heading 5"/>
    <w:basedOn w:val="Normal"/>
    <w:next w:val="Normal"/>
    <w:link w:val="Heading5Char"/>
    <w:uiPriority w:val="9"/>
    <w:unhideWhenUsed/>
    <w:qFormat/>
    <w:rsid w:val="00DA4EDD"/>
    <w:pPr>
      <w:keepNext/>
      <w:keepLines/>
      <w:pBdr>
        <w:top w:val="single" w:sz="2" w:space="1" w:color="FFFFFF" w:themeColor="background1"/>
        <w:left w:val="single" w:sz="36" w:space="4" w:color="9E1C30" w:themeColor="accent5"/>
        <w:bottom w:val="single" w:sz="2" w:space="1" w:color="FFFFFF" w:themeColor="background1"/>
      </w:pBdr>
      <w:spacing w:before="240" w:after="80" w:line="216" w:lineRule="auto"/>
      <w:ind w:left="173"/>
      <w:outlineLvl w:val="4"/>
    </w:pPr>
    <w:rPr>
      <w:rFonts w:eastAsiaTheme="majorEastAsia" w:cstheme="minorHAnsi"/>
      <w:b/>
      <w:bCs/>
      <w:color w:val="242021"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PSTableDark">
    <w:name w:val="GPS Table: Dark"/>
    <w:basedOn w:val="GridTable4-Accent3"/>
    <w:uiPriority w:val="99"/>
    <w:rsid w:val="00314F4B"/>
    <w:pPr>
      <w:jc w:val="center"/>
    </w:pPr>
    <w:tblPr/>
    <w:trPr>
      <w:cantSplit/>
    </w:trPr>
    <w:tcPr>
      <w:vAlign w:val="center"/>
    </w:tcPr>
    <w:tblStylePr w:type="firstRow">
      <w:rPr>
        <w:b/>
        <w:bCs/>
        <w:color w:val="FFFFFF" w:themeColor="background1"/>
      </w:rPr>
      <w:tblPr/>
      <w:tcPr>
        <w:tcBorders>
          <w:top w:val="single" w:sz="4" w:space="0" w:color="213D48" w:themeColor="accent1" w:themeShade="BF"/>
          <w:left w:val="single" w:sz="4" w:space="0" w:color="213D48" w:themeColor="accent1" w:themeShade="BF"/>
          <w:bottom w:val="single" w:sz="4" w:space="0" w:color="213D48" w:themeColor="accent1" w:themeShade="BF"/>
          <w:right w:val="single" w:sz="4" w:space="0" w:color="213D48" w:themeColor="accent1" w:themeShade="BF"/>
          <w:insideH w:val="single" w:sz="4" w:space="0" w:color="213D48" w:themeColor="accent1" w:themeShade="BF"/>
          <w:insideV w:val="single" w:sz="4" w:space="0" w:color="213D48" w:themeColor="accent1" w:themeShade="BF"/>
          <w:tl2br w:val="nil"/>
          <w:tr2bl w:val="nil"/>
        </w:tcBorders>
        <w:shd w:val="clear" w:color="auto" w:fill="2C5261" w:themeFill="accent1"/>
      </w:tcPr>
    </w:tblStylePr>
    <w:tblStylePr w:type="lastRow">
      <w:rPr>
        <w:b/>
        <w:bCs/>
        <w:color w:val="FFFFFF" w:themeColor="background1"/>
      </w:rPr>
      <w:tblPr/>
      <w:tcPr>
        <w:tcBorders>
          <w:top w:val="double" w:sz="4" w:space="0" w:color="303030" w:themeColor="accent3"/>
          <w:bottom w:val="single" w:sz="4" w:space="0" w:color="2C5261" w:themeColor="accent1"/>
        </w:tcBorders>
        <w:shd w:val="clear" w:color="auto" w:fill="7A232F" w:themeFill="accent2"/>
      </w:tcPr>
    </w:tblStylePr>
    <w:tblStylePr w:type="firstCol">
      <w:rPr>
        <w:b/>
        <w:bCs/>
        <w:color w:val="FFFFFF" w:themeColor="background1"/>
      </w:rPr>
      <w:tblPr/>
      <w:tcPr>
        <w:tcBorders>
          <w:top w:val="nil"/>
          <w:left w:val="nil"/>
          <w:bottom w:val="single" w:sz="4" w:space="0" w:color="2C5261" w:themeColor="accent1"/>
          <w:right w:val="nil"/>
          <w:insideH w:val="nil"/>
          <w:insideV w:val="nil"/>
          <w:tl2br w:val="nil"/>
          <w:tr2bl w:val="nil"/>
        </w:tcBorders>
        <w:shd w:val="clear" w:color="auto" w:fill="162830" w:themeFill="accent1" w:themeFillShade="80"/>
      </w:tcPr>
    </w:tblStylePr>
    <w:tblStylePr w:type="lastCol">
      <w:rPr>
        <w:b/>
        <w:bCs/>
      </w:rPr>
      <w:tblPr/>
      <w:tcPr>
        <w:tcBorders>
          <w:top w:val="nil"/>
          <w:left w:val="nil"/>
          <w:bottom w:val="single" w:sz="4" w:space="0" w:color="2C5261" w:themeColor="accent1"/>
          <w:right w:val="nil"/>
          <w:insideH w:val="nil"/>
          <w:insideV w:val="nil"/>
          <w:tl2br w:val="nil"/>
          <w:tr2bl w:val="nil"/>
        </w:tcBorders>
        <w:shd w:val="clear" w:color="auto" w:fill="162830" w:themeFill="accent1" w:themeFillShade="80"/>
      </w:tc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828282" w:themeColor="accent3" w:themeTint="99"/>
        <w:left w:val="single" w:sz="4" w:space="0" w:color="828282" w:themeColor="accent3" w:themeTint="99"/>
        <w:bottom w:val="single" w:sz="4" w:space="0" w:color="828282" w:themeColor="accent3" w:themeTint="99"/>
        <w:right w:val="single" w:sz="4" w:space="0" w:color="828282" w:themeColor="accent3" w:themeTint="99"/>
        <w:insideH w:val="single" w:sz="4" w:space="0" w:color="828282" w:themeColor="accent3" w:themeTint="99"/>
        <w:insideV w:val="single" w:sz="4" w:space="0" w:color="828282" w:themeColor="accent3" w:themeTint="99"/>
      </w:tblBorders>
    </w:tblPr>
    <w:tblStylePr w:type="firstRow">
      <w:rPr>
        <w:b/>
        <w:bCs/>
        <w:color w:val="FFFFFF" w:themeColor="background1"/>
      </w:rPr>
      <w:tblPr/>
      <w:tcPr>
        <w:tcBorders>
          <w:top w:val="single" w:sz="4" w:space="0" w:color="303030" w:themeColor="accent3"/>
          <w:left w:val="single" w:sz="4" w:space="0" w:color="303030" w:themeColor="accent3"/>
          <w:bottom w:val="single" w:sz="4" w:space="0" w:color="303030" w:themeColor="accent3"/>
          <w:right w:val="single" w:sz="4" w:space="0" w:color="303030" w:themeColor="accent3"/>
          <w:insideH w:val="nil"/>
          <w:insideV w:val="nil"/>
        </w:tcBorders>
        <w:shd w:val="clear" w:color="auto" w:fill="303030" w:themeFill="accent3"/>
      </w:tcPr>
    </w:tblStylePr>
    <w:tblStylePr w:type="lastRow">
      <w:rPr>
        <w:b/>
        <w:bCs/>
      </w:rPr>
      <w:tblPr/>
      <w:tcPr>
        <w:tcBorders>
          <w:top w:val="double" w:sz="4" w:space="0" w:color="303030" w:themeColor="accent3"/>
        </w:tcBorders>
      </w:tcPr>
    </w:tblStylePr>
    <w:tblStylePr w:type="firstCol">
      <w:rPr>
        <w:b/>
        <w:bCs/>
      </w:rPr>
    </w:tblStylePr>
    <w:tblStylePr w:type="lastCol">
      <w:rPr>
        <w:b/>
        <w:bCs/>
      </w:rPr>
    </w:tblStylePr>
    <w:tblStylePr w:type="band1Vert">
      <w:tblPr/>
      <w:tcPr>
        <w:shd w:val="clear" w:color="auto" w:fill="D5D5D5" w:themeFill="accent3" w:themeFillTint="33"/>
      </w:tcPr>
    </w:tblStylePr>
    <w:tblStylePr w:type="band1Horz">
      <w:tblPr/>
      <w:tcPr>
        <w:shd w:val="clear" w:color="auto" w:fill="D5D5D5" w:themeFill="accent3" w:themeFillTint="33"/>
      </w:tcPr>
    </w:tblStylePr>
  </w:style>
  <w:style w:type="character" w:customStyle="1" w:styleId="Heading1Char">
    <w:name w:val="Heading 1 Char"/>
    <w:basedOn w:val="DefaultParagraphFont"/>
    <w:link w:val="Heading1"/>
    <w:uiPriority w:val="9"/>
    <w:rsid w:val="00E40A10"/>
    <w:rPr>
      <w:rFonts w:eastAsiaTheme="majorEastAsia" w:cstheme="minorHAnsi"/>
      <w:b/>
      <w:color w:val="9E1C30" w:themeColor="accent5"/>
      <w:sz w:val="60"/>
      <w:szCs w:val="60"/>
    </w:rPr>
  </w:style>
  <w:style w:type="paragraph" w:styleId="Subtitle">
    <w:name w:val="Subtitle"/>
    <w:basedOn w:val="Heading3"/>
    <w:next w:val="Normal"/>
    <w:link w:val="SubtitleChar"/>
    <w:uiPriority w:val="10"/>
    <w:qFormat/>
    <w:rsid w:val="002757E0"/>
    <w:pPr>
      <w:pBdr>
        <w:top w:val="none" w:sz="0" w:space="0" w:color="auto"/>
        <w:left w:val="none" w:sz="0" w:space="0" w:color="auto"/>
        <w:right w:val="none" w:sz="0" w:space="0" w:color="auto"/>
      </w:pBdr>
      <w:shd w:val="clear" w:color="auto" w:fill="auto"/>
    </w:pPr>
    <w:rPr>
      <w:color w:val="005A7C" w:themeColor="accent6"/>
      <w:spacing w:val="10"/>
      <w:sz w:val="34"/>
      <w:szCs w:val="34"/>
    </w:rPr>
  </w:style>
  <w:style w:type="character" w:customStyle="1" w:styleId="SubtitleChar">
    <w:name w:val="Subtitle Char"/>
    <w:basedOn w:val="DefaultParagraphFont"/>
    <w:link w:val="Subtitle"/>
    <w:uiPriority w:val="10"/>
    <w:rsid w:val="002757E0"/>
    <w:rPr>
      <w:rFonts w:eastAsiaTheme="majorEastAsia" w:cstheme="minorHAnsi"/>
      <w:b/>
      <w:color w:val="005A7C" w:themeColor="accent6"/>
      <w:spacing w:val="10"/>
      <w:sz w:val="34"/>
      <w:szCs w:val="34"/>
    </w:rPr>
  </w:style>
  <w:style w:type="character" w:customStyle="1" w:styleId="Heading2Char">
    <w:name w:val="Heading 2 Char"/>
    <w:basedOn w:val="DefaultParagraphFont"/>
    <w:link w:val="Heading2"/>
    <w:uiPriority w:val="9"/>
    <w:rsid w:val="007A5C9F"/>
    <w:rPr>
      <w:rFonts w:eastAsiaTheme="majorEastAsia" w:cstheme="minorHAnsi"/>
      <w:b/>
      <w:bCs/>
      <w:color w:val="242021" w:themeColor="text1"/>
      <w:sz w:val="36"/>
      <w:szCs w:val="26"/>
    </w:rPr>
  </w:style>
  <w:style w:type="paragraph" w:styleId="Header">
    <w:name w:val="header"/>
    <w:basedOn w:val="Normal"/>
    <w:link w:val="HeaderChar"/>
    <w:uiPriority w:val="99"/>
    <w:unhideWhenUsed/>
    <w:qFormat/>
    <w:rsid w:val="005D2414"/>
    <w:pPr>
      <w:tabs>
        <w:tab w:val="right" w:pos="9720"/>
      </w:tabs>
      <w:spacing w:after="1080" w:line="240" w:lineRule="auto"/>
      <w:ind w:left="-360" w:right="2520"/>
    </w:pPr>
    <w:rPr>
      <w:rFonts w:asciiTheme="majorHAnsi" w:hAnsiTheme="majorHAnsi"/>
      <w:bCs/>
      <w:noProof/>
      <w:color w:val="2C5261" w:themeColor="accent1"/>
    </w:rPr>
  </w:style>
  <w:style w:type="character" w:customStyle="1" w:styleId="HeaderChar">
    <w:name w:val="Header Char"/>
    <w:basedOn w:val="DefaultParagraphFont"/>
    <w:link w:val="Header"/>
    <w:uiPriority w:val="99"/>
    <w:rsid w:val="005D2414"/>
    <w:rPr>
      <w:rFonts w:asciiTheme="majorHAnsi" w:hAnsiTheme="majorHAnsi"/>
      <w:bCs/>
      <w:noProof/>
      <w:color w:val="2C5261" w:themeColor="accent1"/>
    </w:rPr>
  </w:style>
  <w:style w:type="paragraph" w:styleId="Footer">
    <w:name w:val="footer"/>
    <w:basedOn w:val="Normal"/>
    <w:link w:val="FooterChar"/>
    <w:uiPriority w:val="99"/>
    <w:unhideWhenUsed/>
    <w:qFormat/>
    <w:rsid w:val="005D2414"/>
    <w:pPr>
      <w:spacing w:after="0" w:line="240" w:lineRule="auto"/>
      <w:ind w:left="-360" w:right="-360"/>
    </w:pPr>
    <w:rPr>
      <w:noProof/>
      <w:color w:val="7A232F" w:themeColor="accent2"/>
      <w:sz w:val="21"/>
      <w:szCs w:val="21"/>
    </w:rPr>
  </w:style>
  <w:style w:type="character" w:customStyle="1" w:styleId="FooterChar">
    <w:name w:val="Footer Char"/>
    <w:basedOn w:val="DefaultParagraphFont"/>
    <w:link w:val="Footer"/>
    <w:uiPriority w:val="99"/>
    <w:rsid w:val="005D2414"/>
    <w:rPr>
      <w:noProof/>
      <w:color w:val="7A232F" w:themeColor="accent2"/>
      <w:sz w:val="21"/>
      <w:szCs w:val="21"/>
    </w:rPr>
  </w:style>
  <w:style w:type="character" w:styleId="Hyperlink">
    <w:name w:val="Hyperlink"/>
    <w:basedOn w:val="DefaultParagraphFont"/>
    <w:uiPriority w:val="99"/>
    <w:unhideWhenUsed/>
    <w:qFormat/>
    <w:rsid w:val="004E5E26"/>
    <w:rPr>
      <w:color w:val="005A7C" w:themeColor="hyperlink"/>
      <w:u w:val="single"/>
    </w:rPr>
  </w:style>
  <w:style w:type="character" w:styleId="UnresolvedMention">
    <w:name w:val="Unresolved Mention"/>
    <w:basedOn w:val="DefaultParagraphFont"/>
    <w:uiPriority w:val="99"/>
    <w:semiHidden/>
    <w:unhideWhenUsed/>
    <w:rsid w:val="004E5E26"/>
    <w:rPr>
      <w:color w:val="605E5C"/>
      <w:shd w:val="clear" w:color="auto" w:fill="E1DFDD"/>
    </w:rPr>
  </w:style>
  <w:style w:type="paragraph" w:styleId="ListParagraph">
    <w:name w:val="List Paragraph"/>
    <w:basedOn w:val="Normal"/>
    <w:link w:val="ListParagraphChar"/>
    <w:uiPriority w:val="1"/>
    <w:qFormat/>
    <w:rsid w:val="007D3A0C"/>
    <w:pPr>
      <w:numPr>
        <w:numId w:val="2"/>
      </w:numPr>
      <w:contextualSpacing/>
    </w:pPr>
  </w:style>
  <w:style w:type="character" w:styleId="Strong">
    <w:name w:val="Strong"/>
    <w:basedOn w:val="DefaultParagraphFont"/>
    <w:uiPriority w:val="22"/>
    <w:qFormat/>
    <w:rsid w:val="00606978"/>
    <w:rPr>
      <w:b/>
      <w:bCs/>
    </w:rPr>
  </w:style>
  <w:style w:type="character" w:customStyle="1" w:styleId="Heading3Char">
    <w:name w:val="Heading 3 Char"/>
    <w:basedOn w:val="DefaultParagraphFont"/>
    <w:link w:val="Heading3"/>
    <w:uiPriority w:val="9"/>
    <w:rsid w:val="007206E7"/>
    <w:rPr>
      <w:rFonts w:eastAsiaTheme="majorEastAsia" w:cstheme="minorHAnsi"/>
      <w:b/>
      <w:color w:val="2C5261" w:themeColor="accent1"/>
      <w:sz w:val="29"/>
      <w:szCs w:val="29"/>
      <w:shd w:val="clear" w:color="auto" w:fill="F3F4F4" w:themeFill="background2"/>
    </w:rPr>
  </w:style>
  <w:style w:type="character" w:customStyle="1" w:styleId="Heading4Char">
    <w:name w:val="Heading 4 Char"/>
    <w:basedOn w:val="DefaultParagraphFont"/>
    <w:link w:val="Heading4"/>
    <w:uiPriority w:val="9"/>
    <w:rsid w:val="005D0752"/>
    <w:rPr>
      <w:rFonts w:asciiTheme="majorHAnsi" w:eastAsiaTheme="majorEastAsia" w:hAnsiTheme="majorHAnsi" w:cstheme="minorHAnsi"/>
      <w:color w:val="9E1C30" w:themeColor="accent5"/>
      <w:sz w:val="28"/>
      <w:szCs w:val="28"/>
    </w:rPr>
  </w:style>
  <w:style w:type="character" w:styleId="CommentReference">
    <w:name w:val="annotation reference"/>
    <w:basedOn w:val="DefaultParagraphFont"/>
    <w:uiPriority w:val="99"/>
    <w:semiHidden/>
    <w:unhideWhenUsed/>
    <w:rsid w:val="000D617B"/>
    <w:rPr>
      <w:sz w:val="16"/>
      <w:szCs w:val="16"/>
    </w:rPr>
  </w:style>
  <w:style w:type="paragraph" w:styleId="CommentText">
    <w:name w:val="annotation text"/>
    <w:basedOn w:val="Normal"/>
    <w:link w:val="CommentTextChar"/>
    <w:uiPriority w:val="99"/>
    <w:unhideWhenUsed/>
    <w:rsid w:val="000D617B"/>
    <w:pPr>
      <w:spacing w:line="240" w:lineRule="auto"/>
    </w:pPr>
    <w:rPr>
      <w:sz w:val="20"/>
      <w:szCs w:val="20"/>
    </w:rPr>
  </w:style>
  <w:style w:type="character" w:customStyle="1" w:styleId="CommentTextChar">
    <w:name w:val="Comment Text Char"/>
    <w:basedOn w:val="DefaultParagraphFont"/>
    <w:link w:val="CommentText"/>
    <w:uiPriority w:val="99"/>
    <w:rsid w:val="000D617B"/>
    <w:rPr>
      <w:sz w:val="20"/>
      <w:szCs w:val="20"/>
    </w:rPr>
  </w:style>
  <w:style w:type="paragraph" w:styleId="CommentSubject">
    <w:name w:val="annotation subject"/>
    <w:basedOn w:val="CommentText"/>
    <w:next w:val="CommentText"/>
    <w:link w:val="CommentSubjectChar"/>
    <w:uiPriority w:val="99"/>
    <w:semiHidden/>
    <w:unhideWhenUsed/>
    <w:rsid w:val="000D617B"/>
    <w:rPr>
      <w:b/>
      <w:bCs/>
    </w:rPr>
  </w:style>
  <w:style w:type="character" w:customStyle="1" w:styleId="CommentSubjectChar">
    <w:name w:val="Comment Subject Char"/>
    <w:basedOn w:val="CommentTextChar"/>
    <w:link w:val="CommentSubject"/>
    <w:uiPriority w:val="99"/>
    <w:semiHidden/>
    <w:rsid w:val="000D617B"/>
    <w:rPr>
      <w:b/>
      <w:bCs/>
      <w:sz w:val="20"/>
      <w:szCs w:val="20"/>
    </w:rPr>
  </w:style>
  <w:style w:type="paragraph" w:styleId="BalloonText">
    <w:name w:val="Balloon Text"/>
    <w:basedOn w:val="Normal"/>
    <w:link w:val="BalloonTextChar"/>
    <w:uiPriority w:val="99"/>
    <w:semiHidden/>
    <w:unhideWhenUsed/>
    <w:rsid w:val="000D6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7B"/>
    <w:rPr>
      <w:rFonts w:ascii="Segoe UI" w:hAnsi="Segoe UI" w:cs="Segoe UI"/>
      <w:sz w:val="18"/>
      <w:szCs w:val="18"/>
    </w:rPr>
  </w:style>
  <w:style w:type="character" w:styleId="FollowedHyperlink">
    <w:name w:val="FollowedHyperlink"/>
    <w:basedOn w:val="DefaultParagraphFont"/>
    <w:uiPriority w:val="99"/>
    <w:semiHidden/>
    <w:unhideWhenUsed/>
    <w:rsid w:val="00D84059"/>
    <w:rPr>
      <w:color w:val="666666" w:themeColor="followedHyperlink"/>
      <w:u w:val="single"/>
    </w:rPr>
  </w:style>
  <w:style w:type="character" w:styleId="Emphasis">
    <w:name w:val="Emphasis"/>
    <w:basedOn w:val="DefaultParagraphFont"/>
    <w:uiPriority w:val="20"/>
    <w:qFormat/>
    <w:rsid w:val="00613E32"/>
    <w:rPr>
      <w:i/>
      <w:iCs/>
      <w:color w:val="000000"/>
      <w14:textFill>
        <w14:solidFill>
          <w14:srgbClr w14:val="000000">
            <w14:alpha w14:val="20000"/>
          </w14:srgbClr>
        </w14:solidFill>
      </w14:textFill>
    </w:rPr>
  </w:style>
  <w:style w:type="character" w:customStyle="1" w:styleId="Heading5Char">
    <w:name w:val="Heading 5 Char"/>
    <w:basedOn w:val="DefaultParagraphFont"/>
    <w:link w:val="Heading5"/>
    <w:uiPriority w:val="9"/>
    <w:rsid w:val="00DA4EDD"/>
    <w:rPr>
      <w:rFonts w:eastAsiaTheme="majorEastAsia" w:cstheme="minorHAnsi"/>
      <w:b/>
      <w:bCs/>
      <w:color w:val="242021" w:themeColor="text1"/>
      <w:sz w:val="24"/>
      <w:szCs w:val="24"/>
    </w:rPr>
  </w:style>
  <w:style w:type="paragraph" w:customStyle="1" w:styleId="IntroParagraph">
    <w:name w:val="Intro Paragraph"/>
    <w:basedOn w:val="Normal"/>
    <w:next w:val="Normal"/>
    <w:link w:val="IntroParagraphChar"/>
    <w:uiPriority w:val="11"/>
    <w:qFormat/>
    <w:rsid w:val="00F16159"/>
    <w:pPr>
      <w:numPr>
        <w:ilvl w:val="1"/>
      </w:numPr>
      <w:spacing w:before="360" w:after="480"/>
      <w:ind w:left="720"/>
    </w:pPr>
    <w:rPr>
      <w:rFonts w:asciiTheme="majorHAnsi" w:eastAsia="Times New Roman" w:hAnsiTheme="majorHAnsi" w:cstheme="majorHAnsi"/>
      <w:i/>
      <w:iCs/>
      <w:color w:val="2C5261" w:themeColor="accent1"/>
      <w:spacing w:val="10"/>
      <w:sz w:val="26"/>
      <w:szCs w:val="26"/>
    </w:rPr>
  </w:style>
  <w:style w:type="paragraph" w:customStyle="1" w:styleId="Callout1">
    <w:name w:val="Callout 1"/>
    <w:basedOn w:val="Normal"/>
    <w:link w:val="Callout1Char"/>
    <w:uiPriority w:val="12"/>
    <w:qFormat/>
    <w:rsid w:val="00506C3E"/>
    <w:pPr>
      <w:pBdr>
        <w:top w:val="single" w:sz="8" w:space="8" w:color="66A1B9" w:themeColor="accent1" w:themeTint="99"/>
        <w:left w:val="single" w:sz="8" w:space="8" w:color="66A1B9" w:themeColor="accent1" w:themeTint="99"/>
        <w:bottom w:val="single" w:sz="8" w:space="8" w:color="66A1B9" w:themeColor="accent1" w:themeTint="99"/>
        <w:right w:val="single" w:sz="8" w:space="8" w:color="66A1B9" w:themeColor="accent1" w:themeTint="99"/>
      </w:pBdr>
      <w:shd w:val="clear" w:color="auto" w:fill="2C5261" w:themeFill="accent1"/>
      <w:spacing w:before="600" w:after="600"/>
      <w:ind w:left="936" w:right="936"/>
    </w:pPr>
    <w:rPr>
      <w:color w:val="FFFFFF" w:themeColor="background1"/>
      <w:sz w:val="25"/>
      <w:szCs w:val="25"/>
    </w:rPr>
  </w:style>
  <w:style w:type="character" w:customStyle="1" w:styleId="IntroParagraphChar">
    <w:name w:val="Intro Paragraph Char"/>
    <w:basedOn w:val="SubtitleChar"/>
    <w:link w:val="IntroParagraph"/>
    <w:uiPriority w:val="11"/>
    <w:rsid w:val="00F16159"/>
    <w:rPr>
      <w:rFonts w:asciiTheme="majorHAnsi" w:eastAsia="Times New Roman" w:hAnsiTheme="majorHAnsi" w:cstheme="majorHAnsi"/>
      <w:b w:val="0"/>
      <w:i/>
      <w:iCs/>
      <w:color w:val="2C5261" w:themeColor="accent1"/>
      <w:spacing w:val="10"/>
      <w:sz w:val="26"/>
      <w:szCs w:val="26"/>
    </w:rPr>
  </w:style>
  <w:style w:type="paragraph" w:customStyle="1" w:styleId="Callout2">
    <w:name w:val="Callout 2"/>
    <w:basedOn w:val="Callout1"/>
    <w:link w:val="Callout2Char"/>
    <w:uiPriority w:val="12"/>
    <w:qFormat/>
    <w:rsid w:val="00506C3E"/>
    <w:pPr>
      <w:pBdr>
        <w:top w:val="single" w:sz="48" w:space="8" w:color="C8C8C6" w:themeColor="accent4"/>
        <w:left w:val="none" w:sz="0" w:space="0" w:color="auto"/>
        <w:bottom w:val="single" w:sz="24" w:space="8" w:color="C8C8C6" w:themeColor="accent4"/>
        <w:right w:val="none" w:sz="0" w:space="0" w:color="auto"/>
      </w:pBdr>
      <w:shd w:val="clear" w:color="auto" w:fill="auto"/>
      <w:ind w:left="720" w:right="720"/>
    </w:pPr>
    <w:rPr>
      <w:rFonts w:asciiTheme="majorHAnsi" w:hAnsiTheme="majorHAnsi" w:cstheme="majorHAnsi"/>
      <w:color w:val="7A232F" w:themeColor="accent2"/>
    </w:rPr>
  </w:style>
  <w:style w:type="character" w:customStyle="1" w:styleId="Callout1Char">
    <w:name w:val="Callout 1 Char"/>
    <w:basedOn w:val="DefaultParagraphFont"/>
    <w:link w:val="Callout1"/>
    <w:uiPriority w:val="12"/>
    <w:rsid w:val="00506C3E"/>
    <w:rPr>
      <w:color w:val="FFFFFF" w:themeColor="background1"/>
      <w:sz w:val="25"/>
      <w:szCs w:val="25"/>
      <w:shd w:val="clear" w:color="auto" w:fill="2C5261" w:themeFill="accent1"/>
    </w:rPr>
  </w:style>
  <w:style w:type="paragraph" w:customStyle="1" w:styleId="NumberedList">
    <w:name w:val="Numbered List"/>
    <w:basedOn w:val="ListParagraph"/>
    <w:link w:val="NumberedListChar"/>
    <w:uiPriority w:val="2"/>
    <w:qFormat/>
    <w:rsid w:val="00B563FF"/>
    <w:pPr>
      <w:numPr>
        <w:numId w:val="3"/>
      </w:numPr>
    </w:pPr>
  </w:style>
  <w:style w:type="character" w:customStyle="1" w:styleId="Callout2Char">
    <w:name w:val="Callout 2 Char"/>
    <w:basedOn w:val="Callout1Char"/>
    <w:link w:val="Callout2"/>
    <w:uiPriority w:val="12"/>
    <w:rsid w:val="00506C3E"/>
    <w:rPr>
      <w:rFonts w:asciiTheme="majorHAnsi" w:hAnsiTheme="majorHAnsi" w:cstheme="majorHAnsi"/>
      <w:color w:val="7A232F" w:themeColor="accent2"/>
      <w:sz w:val="25"/>
      <w:szCs w:val="25"/>
      <w:shd w:val="clear" w:color="auto" w:fill="2C5261" w:themeFill="accent1"/>
    </w:rPr>
  </w:style>
  <w:style w:type="character" w:customStyle="1" w:styleId="ListParagraphChar">
    <w:name w:val="List Paragraph Char"/>
    <w:basedOn w:val="DefaultParagraphFont"/>
    <w:link w:val="ListParagraph"/>
    <w:uiPriority w:val="1"/>
    <w:rsid w:val="007D3A0C"/>
  </w:style>
  <w:style w:type="character" w:customStyle="1" w:styleId="NumberedListChar">
    <w:name w:val="Numbered List Char"/>
    <w:basedOn w:val="ListParagraphChar"/>
    <w:link w:val="NumberedList"/>
    <w:uiPriority w:val="2"/>
    <w:rsid w:val="00B563FF"/>
  </w:style>
  <w:style w:type="table" w:styleId="TableGrid">
    <w:name w:val="Table Grid"/>
    <w:basedOn w:val="TableNormal"/>
    <w:uiPriority w:val="39"/>
    <w:rsid w:val="00C1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C151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9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9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9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9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14F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PSTableLight">
    <w:name w:val="GPS Table: Light"/>
    <w:basedOn w:val="GPSTableDark"/>
    <w:uiPriority w:val="99"/>
    <w:rsid w:val="006D7B8A"/>
    <w:tblPr/>
    <w:tblStylePr w:type="firstRow">
      <w:pPr>
        <w:wordWrap/>
        <w:spacing w:beforeLines="0" w:before="40" w:beforeAutospacing="0" w:afterLines="0" w:after="40" w:afterAutospacing="0"/>
      </w:pPr>
      <w:rPr>
        <w:b/>
        <w:bCs/>
        <w:color w:val="7A232F" w:themeColor="accent2"/>
      </w:rPr>
      <w:tblPr/>
      <w:tcPr>
        <w:tcBorders>
          <w:top w:val="single" w:sz="4" w:space="0" w:color="979797" w:themeColor="accent3" w:themeTint="80"/>
          <w:left w:val="nil"/>
          <w:bottom w:val="single" w:sz="12" w:space="0" w:color="2C5261" w:themeColor="accent1"/>
          <w:right w:val="nil"/>
          <w:insideH w:val="single" w:sz="4" w:space="0" w:color="213D48" w:themeColor="accent1" w:themeShade="BF"/>
          <w:insideV w:val="nil"/>
          <w:tl2br w:val="nil"/>
          <w:tr2bl w:val="nil"/>
        </w:tcBorders>
        <w:shd w:val="clear" w:color="auto" w:fill="FFFFFF" w:themeFill="background1"/>
      </w:tcPr>
    </w:tblStylePr>
    <w:tblStylePr w:type="lastRow">
      <w:pPr>
        <w:wordWrap/>
        <w:spacing w:beforeLines="0" w:before="40" w:beforeAutospacing="0" w:afterLines="0" w:after="40" w:afterAutospacing="0"/>
      </w:pPr>
      <w:rPr>
        <w:b/>
        <w:bCs/>
        <w:color w:val="7A232F" w:themeColor="accent2"/>
      </w:rPr>
      <w:tblPr/>
      <w:tcPr>
        <w:tcBorders>
          <w:top w:val="single" w:sz="12" w:space="0" w:color="2C5261" w:themeColor="accent1"/>
          <w:left w:val="nil"/>
          <w:bottom w:val="single" w:sz="4" w:space="0" w:color="979797" w:themeColor="accent3" w:themeTint="80"/>
          <w:right w:val="nil"/>
          <w:insideV w:val="nil"/>
        </w:tcBorders>
        <w:shd w:val="clear" w:color="auto" w:fill="FFFFFF" w:themeFill="background1"/>
      </w:tcPr>
    </w:tblStylePr>
    <w:tblStylePr w:type="firstCol">
      <w:rPr>
        <w:b/>
        <w:bCs/>
        <w:color w:val="073445" w:themeColor="text2"/>
      </w:rPr>
      <w:tblPr/>
      <w:tcPr>
        <w:tcBorders>
          <w:top w:val="nil"/>
          <w:left w:val="nil"/>
          <w:bottom w:val="nil"/>
          <w:right w:val="nil"/>
          <w:insideH w:val="nil"/>
          <w:insideV w:val="nil"/>
          <w:tl2br w:val="nil"/>
          <w:tr2bl w:val="nil"/>
        </w:tcBorders>
        <w:shd w:val="clear" w:color="auto" w:fill="F3F4F4" w:themeFill="background2"/>
      </w:tcPr>
    </w:tblStylePr>
    <w:tblStylePr w:type="lastCol">
      <w:rPr>
        <w:b/>
        <w:bCs/>
        <w:color w:val="073445" w:themeColor="text2"/>
      </w:rPr>
      <w:tblPr/>
      <w:tcPr>
        <w:tcBorders>
          <w:top w:val="nil"/>
          <w:left w:val="nil"/>
          <w:bottom w:val="nil"/>
          <w:right w:val="nil"/>
          <w:insideH w:val="nil"/>
          <w:insideV w:val="nil"/>
          <w:tl2br w:val="nil"/>
          <w:tr2bl w:val="nil"/>
        </w:tcBorders>
        <w:shd w:val="clear" w:color="auto" w:fill="F3F4F4" w:themeFill="background2"/>
      </w:tc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D476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A322E"/>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8155">
      <w:bodyDiv w:val="1"/>
      <w:marLeft w:val="0"/>
      <w:marRight w:val="0"/>
      <w:marTop w:val="0"/>
      <w:marBottom w:val="0"/>
      <w:divBdr>
        <w:top w:val="none" w:sz="0" w:space="0" w:color="auto"/>
        <w:left w:val="none" w:sz="0" w:space="0" w:color="auto"/>
        <w:bottom w:val="none" w:sz="0" w:space="0" w:color="auto"/>
        <w:right w:val="none" w:sz="0" w:space="0" w:color="auto"/>
      </w:divBdr>
    </w:div>
    <w:div w:id="61955839">
      <w:bodyDiv w:val="1"/>
      <w:marLeft w:val="0"/>
      <w:marRight w:val="0"/>
      <w:marTop w:val="0"/>
      <w:marBottom w:val="0"/>
      <w:divBdr>
        <w:top w:val="none" w:sz="0" w:space="0" w:color="auto"/>
        <w:left w:val="none" w:sz="0" w:space="0" w:color="auto"/>
        <w:bottom w:val="none" w:sz="0" w:space="0" w:color="auto"/>
        <w:right w:val="none" w:sz="0" w:space="0" w:color="auto"/>
      </w:divBdr>
    </w:div>
    <w:div w:id="70323513">
      <w:bodyDiv w:val="1"/>
      <w:marLeft w:val="0"/>
      <w:marRight w:val="0"/>
      <w:marTop w:val="0"/>
      <w:marBottom w:val="0"/>
      <w:divBdr>
        <w:top w:val="none" w:sz="0" w:space="0" w:color="auto"/>
        <w:left w:val="none" w:sz="0" w:space="0" w:color="auto"/>
        <w:bottom w:val="none" w:sz="0" w:space="0" w:color="auto"/>
        <w:right w:val="none" w:sz="0" w:space="0" w:color="auto"/>
      </w:divBdr>
    </w:div>
    <w:div w:id="101729149">
      <w:bodyDiv w:val="1"/>
      <w:marLeft w:val="0"/>
      <w:marRight w:val="0"/>
      <w:marTop w:val="0"/>
      <w:marBottom w:val="0"/>
      <w:divBdr>
        <w:top w:val="none" w:sz="0" w:space="0" w:color="auto"/>
        <w:left w:val="none" w:sz="0" w:space="0" w:color="auto"/>
        <w:bottom w:val="none" w:sz="0" w:space="0" w:color="auto"/>
        <w:right w:val="none" w:sz="0" w:space="0" w:color="auto"/>
      </w:divBdr>
    </w:div>
    <w:div w:id="239364842">
      <w:bodyDiv w:val="1"/>
      <w:marLeft w:val="0"/>
      <w:marRight w:val="0"/>
      <w:marTop w:val="0"/>
      <w:marBottom w:val="0"/>
      <w:divBdr>
        <w:top w:val="none" w:sz="0" w:space="0" w:color="auto"/>
        <w:left w:val="none" w:sz="0" w:space="0" w:color="auto"/>
        <w:bottom w:val="none" w:sz="0" w:space="0" w:color="auto"/>
        <w:right w:val="none" w:sz="0" w:space="0" w:color="auto"/>
      </w:divBdr>
    </w:div>
    <w:div w:id="272250967">
      <w:bodyDiv w:val="1"/>
      <w:marLeft w:val="0"/>
      <w:marRight w:val="0"/>
      <w:marTop w:val="0"/>
      <w:marBottom w:val="0"/>
      <w:divBdr>
        <w:top w:val="none" w:sz="0" w:space="0" w:color="auto"/>
        <w:left w:val="none" w:sz="0" w:space="0" w:color="auto"/>
        <w:bottom w:val="none" w:sz="0" w:space="0" w:color="auto"/>
        <w:right w:val="none" w:sz="0" w:space="0" w:color="auto"/>
      </w:divBdr>
    </w:div>
    <w:div w:id="283004626">
      <w:bodyDiv w:val="1"/>
      <w:marLeft w:val="0"/>
      <w:marRight w:val="0"/>
      <w:marTop w:val="0"/>
      <w:marBottom w:val="0"/>
      <w:divBdr>
        <w:top w:val="none" w:sz="0" w:space="0" w:color="auto"/>
        <w:left w:val="none" w:sz="0" w:space="0" w:color="auto"/>
        <w:bottom w:val="none" w:sz="0" w:space="0" w:color="auto"/>
        <w:right w:val="none" w:sz="0" w:space="0" w:color="auto"/>
      </w:divBdr>
    </w:div>
    <w:div w:id="303775223">
      <w:bodyDiv w:val="1"/>
      <w:marLeft w:val="0"/>
      <w:marRight w:val="0"/>
      <w:marTop w:val="0"/>
      <w:marBottom w:val="0"/>
      <w:divBdr>
        <w:top w:val="none" w:sz="0" w:space="0" w:color="auto"/>
        <w:left w:val="none" w:sz="0" w:space="0" w:color="auto"/>
        <w:bottom w:val="none" w:sz="0" w:space="0" w:color="auto"/>
        <w:right w:val="none" w:sz="0" w:space="0" w:color="auto"/>
      </w:divBdr>
    </w:div>
    <w:div w:id="372537516">
      <w:bodyDiv w:val="1"/>
      <w:marLeft w:val="0"/>
      <w:marRight w:val="0"/>
      <w:marTop w:val="0"/>
      <w:marBottom w:val="0"/>
      <w:divBdr>
        <w:top w:val="none" w:sz="0" w:space="0" w:color="auto"/>
        <w:left w:val="none" w:sz="0" w:space="0" w:color="auto"/>
        <w:bottom w:val="none" w:sz="0" w:space="0" w:color="auto"/>
        <w:right w:val="none" w:sz="0" w:space="0" w:color="auto"/>
      </w:divBdr>
    </w:div>
    <w:div w:id="523250566">
      <w:bodyDiv w:val="1"/>
      <w:marLeft w:val="0"/>
      <w:marRight w:val="0"/>
      <w:marTop w:val="0"/>
      <w:marBottom w:val="0"/>
      <w:divBdr>
        <w:top w:val="none" w:sz="0" w:space="0" w:color="auto"/>
        <w:left w:val="none" w:sz="0" w:space="0" w:color="auto"/>
        <w:bottom w:val="none" w:sz="0" w:space="0" w:color="auto"/>
        <w:right w:val="none" w:sz="0" w:space="0" w:color="auto"/>
      </w:divBdr>
    </w:div>
    <w:div w:id="532110966">
      <w:bodyDiv w:val="1"/>
      <w:marLeft w:val="0"/>
      <w:marRight w:val="0"/>
      <w:marTop w:val="0"/>
      <w:marBottom w:val="0"/>
      <w:divBdr>
        <w:top w:val="none" w:sz="0" w:space="0" w:color="auto"/>
        <w:left w:val="none" w:sz="0" w:space="0" w:color="auto"/>
        <w:bottom w:val="none" w:sz="0" w:space="0" w:color="auto"/>
        <w:right w:val="none" w:sz="0" w:space="0" w:color="auto"/>
      </w:divBdr>
    </w:div>
    <w:div w:id="598635768">
      <w:bodyDiv w:val="1"/>
      <w:marLeft w:val="0"/>
      <w:marRight w:val="0"/>
      <w:marTop w:val="0"/>
      <w:marBottom w:val="0"/>
      <w:divBdr>
        <w:top w:val="none" w:sz="0" w:space="0" w:color="auto"/>
        <w:left w:val="none" w:sz="0" w:space="0" w:color="auto"/>
        <w:bottom w:val="none" w:sz="0" w:space="0" w:color="auto"/>
        <w:right w:val="none" w:sz="0" w:space="0" w:color="auto"/>
      </w:divBdr>
    </w:div>
    <w:div w:id="629288746">
      <w:bodyDiv w:val="1"/>
      <w:marLeft w:val="0"/>
      <w:marRight w:val="0"/>
      <w:marTop w:val="0"/>
      <w:marBottom w:val="0"/>
      <w:divBdr>
        <w:top w:val="none" w:sz="0" w:space="0" w:color="auto"/>
        <w:left w:val="none" w:sz="0" w:space="0" w:color="auto"/>
        <w:bottom w:val="none" w:sz="0" w:space="0" w:color="auto"/>
        <w:right w:val="none" w:sz="0" w:space="0" w:color="auto"/>
      </w:divBdr>
    </w:div>
    <w:div w:id="661086723">
      <w:bodyDiv w:val="1"/>
      <w:marLeft w:val="0"/>
      <w:marRight w:val="0"/>
      <w:marTop w:val="0"/>
      <w:marBottom w:val="0"/>
      <w:divBdr>
        <w:top w:val="none" w:sz="0" w:space="0" w:color="auto"/>
        <w:left w:val="none" w:sz="0" w:space="0" w:color="auto"/>
        <w:bottom w:val="none" w:sz="0" w:space="0" w:color="auto"/>
        <w:right w:val="none" w:sz="0" w:space="0" w:color="auto"/>
      </w:divBdr>
    </w:div>
    <w:div w:id="663051489">
      <w:bodyDiv w:val="1"/>
      <w:marLeft w:val="0"/>
      <w:marRight w:val="0"/>
      <w:marTop w:val="0"/>
      <w:marBottom w:val="0"/>
      <w:divBdr>
        <w:top w:val="none" w:sz="0" w:space="0" w:color="auto"/>
        <w:left w:val="none" w:sz="0" w:space="0" w:color="auto"/>
        <w:bottom w:val="none" w:sz="0" w:space="0" w:color="auto"/>
        <w:right w:val="none" w:sz="0" w:space="0" w:color="auto"/>
      </w:divBdr>
    </w:div>
    <w:div w:id="744912201">
      <w:bodyDiv w:val="1"/>
      <w:marLeft w:val="0"/>
      <w:marRight w:val="0"/>
      <w:marTop w:val="0"/>
      <w:marBottom w:val="0"/>
      <w:divBdr>
        <w:top w:val="none" w:sz="0" w:space="0" w:color="auto"/>
        <w:left w:val="none" w:sz="0" w:space="0" w:color="auto"/>
        <w:bottom w:val="none" w:sz="0" w:space="0" w:color="auto"/>
        <w:right w:val="none" w:sz="0" w:space="0" w:color="auto"/>
      </w:divBdr>
    </w:div>
    <w:div w:id="792676321">
      <w:bodyDiv w:val="1"/>
      <w:marLeft w:val="0"/>
      <w:marRight w:val="0"/>
      <w:marTop w:val="0"/>
      <w:marBottom w:val="0"/>
      <w:divBdr>
        <w:top w:val="none" w:sz="0" w:space="0" w:color="auto"/>
        <w:left w:val="none" w:sz="0" w:space="0" w:color="auto"/>
        <w:bottom w:val="none" w:sz="0" w:space="0" w:color="auto"/>
        <w:right w:val="none" w:sz="0" w:space="0" w:color="auto"/>
      </w:divBdr>
    </w:div>
    <w:div w:id="796220604">
      <w:bodyDiv w:val="1"/>
      <w:marLeft w:val="0"/>
      <w:marRight w:val="0"/>
      <w:marTop w:val="0"/>
      <w:marBottom w:val="0"/>
      <w:divBdr>
        <w:top w:val="none" w:sz="0" w:space="0" w:color="auto"/>
        <w:left w:val="none" w:sz="0" w:space="0" w:color="auto"/>
        <w:bottom w:val="none" w:sz="0" w:space="0" w:color="auto"/>
        <w:right w:val="none" w:sz="0" w:space="0" w:color="auto"/>
      </w:divBdr>
    </w:div>
    <w:div w:id="837234096">
      <w:bodyDiv w:val="1"/>
      <w:marLeft w:val="0"/>
      <w:marRight w:val="0"/>
      <w:marTop w:val="0"/>
      <w:marBottom w:val="0"/>
      <w:divBdr>
        <w:top w:val="none" w:sz="0" w:space="0" w:color="auto"/>
        <w:left w:val="none" w:sz="0" w:space="0" w:color="auto"/>
        <w:bottom w:val="none" w:sz="0" w:space="0" w:color="auto"/>
        <w:right w:val="none" w:sz="0" w:space="0" w:color="auto"/>
      </w:divBdr>
    </w:div>
    <w:div w:id="950163914">
      <w:bodyDiv w:val="1"/>
      <w:marLeft w:val="0"/>
      <w:marRight w:val="0"/>
      <w:marTop w:val="0"/>
      <w:marBottom w:val="0"/>
      <w:divBdr>
        <w:top w:val="none" w:sz="0" w:space="0" w:color="auto"/>
        <w:left w:val="none" w:sz="0" w:space="0" w:color="auto"/>
        <w:bottom w:val="none" w:sz="0" w:space="0" w:color="auto"/>
        <w:right w:val="none" w:sz="0" w:space="0" w:color="auto"/>
      </w:divBdr>
    </w:div>
    <w:div w:id="1208495641">
      <w:bodyDiv w:val="1"/>
      <w:marLeft w:val="0"/>
      <w:marRight w:val="0"/>
      <w:marTop w:val="0"/>
      <w:marBottom w:val="0"/>
      <w:divBdr>
        <w:top w:val="none" w:sz="0" w:space="0" w:color="auto"/>
        <w:left w:val="none" w:sz="0" w:space="0" w:color="auto"/>
        <w:bottom w:val="none" w:sz="0" w:space="0" w:color="auto"/>
        <w:right w:val="none" w:sz="0" w:space="0" w:color="auto"/>
      </w:divBdr>
    </w:div>
    <w:div w:id="1217813327">
      <w:bodyDiv w:val="1"/>
      <w:marLeft w:val="0"/>
      <w:marRight w:val="0"/>
      <w:marTop w:val="0"/>
      <w:marBottom w:val="0"/>
      <w:divBdr>
        <w:top w:val="none" w:sz="0" w:space="0" w:color="auto"/>
        <w:left w:val="none" w:sz="0" w:space="0" w:color="auto"/>
        <w:bottom w:val="none" w:sz="0" w:space="0" w:color="auto"/>
        <w:right w:val="none" w:sz="0" w:space="0" w:color="auto"/>
      </w:divBdr>
    </w:div>
    <w:div w:id="1252396945">
      <w:bodyDiv w:val="1"/>
      <w:marLeft w:val="0"/>
      <w:marRight w:val="0"/>
      <w:marTop w:val="0"/>
      <w:marBottom w:val="0"/>
      <w:divBdr>
        <w:top w:val="none" w:sz="0" w:space="0" w:color="auto"/>
        <w:left w:val="none" w:sz="0" w:space="0" w:color="auto"/>
        <w:bottom w:val="none" w:sz="0" w:space="0" w:color="auto"/>
        <w:right w:val="none" w:sz="0" w:space="0" w:color="auto"/>
      </w:divBdr>
      <w:divsChild>
        <w:div w:id="2139840267">
          <w:marLeft w:val="1166"/>
          <w:marRight w:val="0"/>
          <w:marTop w:val="0"/>
          <w:marBottom w:val="0"/>
          <w:divBdr>
            <w:top w:val="none" w:sz="0" w:space="0" w:color="auto"/>
            <w:left w:val="none" w:sz="0" w:space="0" w:color="auto"/>
            <w:bottom w:val="none" w:sz="0" w:space="0" w:color="auto"/>
            <w:right w:val="none" w:sz="0" w:space="0" w:color="auto"/>
          </w:divBdr>
        </w:div>
        <w:div w:id="2122990337">
          <w:marLeft w:val="1166"/>
          <w:marRight w:val="0"/>
          <w:marTop w:val="0"/>
          <w:marBottom w:val="0"/>
          <w:divBdr>
            <w:top w:val="none" w:sz="0" w:space="0" w:color="auto"/>
            <w:left w:val="none" w:sz="0" w:space="0" w:color="auto"/>
            <w:bottom w:val="none" w:sz="0" w:space="0" w:color="auto"/>
            <w:right w:val="none" w:sz="0" w:space="0" w:color="auto"/>
          </w:divBdr>
        </w:div>
        <w:div w:id="1263535787">
          <w:marLeft w:val="1166"/>
          <w:marRight w:val="0"/>
          <w:marTop w:val="0"/>
          <w:marBottom w:val="160"/>
          <w:divBdr>
            <w:top w:val="none" w:sz="0" w:space="0" w:color="auto"/>
            <w:left w:val="none" w:sz="0" w:space="0" w:color="auto"/>
            <w:bottom w:val="none" w:sz="0" w:space="0" w:color="auto"/>
            <w:right w:val="none" w:sz="0" w:space="0" w:color="auto"/>
          </w:divBdr>
        </w:div>
      </w:divsChild>
    </w:div>
    <w:div w:id="1314528193">
      <w:bodyDiv w:val="1"/>
      <w:marLeft w:val="0"/>
      <w:marRight w:val="0"/>
      <w:marTop w:val="0"/>
      <w:marBottom w:val="0"/>
      <w:divBdr>
        <w:top w:val="none" w:sz="0" w:space="0" w:color="auto"/>
        <w:left w:val="none" w:sz="0" w:space="0" w:color="auto"/>
        <w:bottom w:val="none" w:sz="0" w:space="0" w:color="auto"/>
        <w:right w:val="none" w:sz="0" w:space="0" w:color="auto"/>
      </w:divBdr>
      <w:divsChild>
        <w:div w:id="2065176641">
          <w:marLeft w:val="274"/>
          <w:marRight w:val="0"/>
          <w:marTop w:val="0"/>
          <w:marBottom w:val="0"/>
          <w:divBdr>
            <w:top w:val="none" w:sz="0" w:space="0" w:color="auto"/>
            <w:left w:val="none" w:sz="0" w:space="0" w:color="auto"/>
            <w:bottom w:val="none" w:sz="0" w:space="0" w:color="auto"/>
            <w:right w:val="none" w:sz="0" w:space="0" w:color="auto"/>
          </w:divBdr>
        </w:div>
        <w:div w:id="2143692042">
          <w:marLeft w:val="274"/>
          <w:marRight w:val="0"/>
          <w:marTop w:val="0"/>
          <w:marBottom w:val="0"/>
          <w:divBdr>
            <w:top w:val="none" w:sz="0" w:space="0" w:color="auto"/>
            <w:left w:val="none" w:sz="0" w:space="0" w:color="auto"/>
            <w:bottom w:val="none" w:sz="0" w:space="0" w:color="auto"/>
            <w:right w:val="none" w:sz="0" w:space="0" w:color="auto"/>
          </w:divBdr>
        </w:div>
        <w:div w:id="1501698894">
          <w:marLeft w:val="274"/>
          <w:marRight w:val="0"/>
          <w:marTop w:val="0"/>
          <w:marBottom w:val="0"/>
          <w:divBdr>
            <w:top w:val="none" w:sz="0" w:space="0" w:color="auto"/>
            <w:left w:val="none" w:sz="0" w:space="0" w:color="auto"/>
            <w:bottom w:val="none" w:sz="0" w:space="0" w:color="auto"/>
            <w:right w:val="none" w:sz="0" w:space="0" w:color="auto"/>
          </w:divBdr>
        </w:div>
        <w:div w:id="674381423">
          <w:marLeft w:val="274"/>
          <w:marRight w:val="0"/>
          <w:marTop w:val="0"/>
          <w:marBottom w:val="0"/>
          <w:divBdr>
            <w:top w:val="none" w:sz="0" w:space="0" w:color="auto"/>
            <w:left w:val="none" w:sz="0" w:space="0" w:color="auto"/>
            <w:bottom w:val="none" w:sz="0" w:space="0" w:color="auto"/>
            <w:right w:val="none" w:sz="0" w:space="0" w:color="auto"/>
          </w:divBdr>
        </w:div>
      </w:divsChild>
    </w:div>
    <w:div w:id="1575046027">
      <w:bodyDiv w:val="1"/>
      <w:marLeft w:val="0"/>
      <w:marRight w:val="0"/>
      <w:marTop w:val="0"/>
      <w:marBottom w:val="0"/>
      <w:divBdr>
        <w:top w:val="none" w:sz="0" w:space="0" w:color="auto"/>
        <w:left w:val="none" w:sz="0" w:space="0" w:color="auto"/>
        <w:bottom w:val="none" w:sz="0" w:space="0" w:color="auto"/>
        <w:right w:val="none" w:sz="0" w:space="0" w:color="auto"/>
      </w:divBdr>
    </w:div>
    <w:div w:id="1598127404">
      <w:bodyDiv w:val="1"/>
      <w:marLeft w:val="0"/>
      <w:marRight w:val="0"/>
      <w:marTop w:val="0"/>
      <w:marBottom w:val="0"/>
      <w:divBdr>
        <w:top w:val="none" w:sz="0" w:space="0" w:color="auto"/>
        <w:left w:val="none" w:sz="0" w:space="0" w:color="auto"/>
        <w:bottom w:val="none" w:sz="0" w:space="0" w:color="auto"/>
        <w:right w:val="none" w:sz="0" w:space="0" w:color="auto"/>
      </w:divBdr>
    </w:div>
    <w:div w:id="1673531200">
      <w:bodyDiv w:val="1"/>
      <w:marLeft w:val="0"/>
      <w:marRight w:val="0"/>
      <w:marTop w:val="0"/>
      <w:marBottom w:val="0"/>
      <w:divBdr>
        <w:top w:val="none" w:sz="0" w:space="0" w:color="auto"/>
        <w:left w:val="none" w:sz="0" w:space="0" w:color="auto"/>
        <w:bottom w:val="none" w:sz="0" w:space="0" w:color="auto"/>
        <w:right w:val="none" w:sz="0" w:space="0" w:color="auto"/>
      </w:divBdr>
    </w:div>
    <w:div w:id="1691225401">
      <w:bodyDiv w:val="1"/>
      <w:marLeft w:val="0"/>
      <w:marRight w:val="0"/>
      <w:marTop w:val="0"/>
      <w:marBottom w:val="0"/>
      <w:divBdr>
        <w:top w:val="none" w:sz="0" w:space="0" w:color="auto"/>
        <w:left w:val="none" w:sz="0" w:space="0" w:color="auto"/>
        <w:bottom w:val="none" w:sz="0" w:space="0" w:color="auto"/>
        <w:right w:val="none" w:sz="0" w:space="0" w:color="auto"/>
      </w:divBdr>
    </w:div>
    <w:div w:id="1698501955">
      <w:bodyDiv w:val="1"/>
      <w:marLeft w:val="0"/>
      <w:marRight w:val="0"/>
      <w:marTop w:val="0"/>
      <w:marBottom w:val="0"/>
      <w:divBdr>
        <w:top w:val="none" w:sz="0" w:space="0" w:color="auto"/>
        <w:left w:val="none" w:sz="0" w:space="0" w:color="auto"/>
        <w:bottom w:val="none" w:sz="0" w:space="0" w:color="auto"/>
        <w:right w:val="none" w:sz="0" w:space="0" w:color="auto"/>
      </w:divBdr>
    </w:div>
    <w:div w:id="1737243844">
      <w:bodyDiv w:val="1"/>
      <w:marLeft w:val="0"/>
      <w:marRight w:val="0"/>
      <w:marTop w:val="0"/>
      <w:marBottom w:val="0"/>
      <w:divBdr>
        <w:top w:val="none" w:sz="0" w:space="0" w:color="auto"/>
        <w:left w:val="none" w:sz="0" w:space="0" w:color="auto"/>
        <w:bottom w:val="none" w:sz="0" w:space="0" w:color="auto"/>
        <w:right w:val="none" w:sz="0" w:space="0" w:color="auto"/>
      </w:divBdr>
    </w:div>
    <w:div w:id="1773743637">
      <w:bodyDiv w:val="1"/>
      <w:marLeft w:val="0"/>
      <w:marRight w:val="0"/>
      <w:marTop w:val="0"/>
      <w:marBottom w:val="0"/>
      <w:divBdr>
        <w:top w:val="none" w:sz="0" w:space="0" w:color="auto"/>
        <w:left w:val="none" w:sz="0" w:space="0" w:color="auto"/>
        <w:bottom w:val="none" w:sz="0" w:space="0" w:color="auto"/>
        <w:right w:val="none" w:sz="0" w:space="0" w:color="auto"/>
      </w:divBdr>
    </w:div>
    <w:div w:id="1807624134">
      <w:bodyDiv w:val="1"/>
      <w:marLeft w:val="0"/>
      <w:marRight w:val="0"/>
      <w:marTop w:val="0"/>
      <w:marBottom w:val="0"/>
      <w:divBdr>
        <w:top w:val="none" w:sz="0" w:space="0" w:color="auto"/>
        <w:left w:val="none" w:sz="0" w:space="0" w:color="auto"/>
        <w:bottom w:val="none" w:sz="0" w:space="0" w:color="auto"/>
        <w:right w:val="none" w:sz="0" w:space="0" w:color="auto"/>
      </w:divBdr>
    </w:div>
    <w:div w:id="1971393604">
      <w:bodyDiv w:val="1"/>
      <w:marLeft w:val="0"/>
      <w:marRight w:val="0"/>
      <w:marTop w:val="0"/>
      <w:marBottom w:val="0"/>
      <w:divBdr>
        <w:top w:val="none" w:sz="0" w:space="0" w:color="auto"/>
        <w:left w:val="none" w:sz="0" w:space="0" w:color="auto"/>
        <w:bottom w:val="none" w:sz="0" w:space="0" w:color="auto"/>
        <w:right w:val="none" w:sz="0" w:space="0" w:color="auto"/>
      </w:divBdr>
    </w:div>
    <w:div w:id="2000839099">
      <w:bodyDiv w:val="1"/>
      <w:marLeft w:val="0"/>
      <w:marRight w:val="0"/>
      <w:marTop w:val="0"/>
      <w:marBottom w:val="0"/>
      <w:divBdr>
        <w:top w:val="none" w:sz="0" w:space="0" w:color="auto"/>
        <w:left w:val="none" w:sz="0" w:space="0" w:color="auto"/>
        <w:bottom w:val="none" w:sz="0" w:space="0" w:color="auto"/>
        <w:right w:val="none" w:sz="0" w:space="0" w:color="auto"/>
      </w:divBdr>
    </w:div>
    <w:div w:id="2021731877">
      <w:bodyDiv w:val="1"/>
      <w:marLeft w:val="0"/>
      <w:marRight w:val="0"/>
      <w:marTop w:val="0"/>
      <w:marBottom w:val="0"/>
      <w:divBdr>
        <w:top w:val="none" w:sz="0" w:space="0" w:color="auto"/>
        <w:left w:val="none" w:sz="0" w:space="0" w:color="auto"/>
        <w:bottom w:val="none" w:sz="0" w:space="0" w:color="auto"/>
        <w:right w:val="none" w:sz="0" w:space="0" w:color="auto"/>
      </w:divBdr>
    </w:div>
    <w:div w:id="213505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www.dol.gov%2Fsites%2Fdolgov%2Ffiles%2FETA%2Fwioa%2Fpdfs%2FOMB%2520approved%2520State%2520Plan%2520ICR_1205-0522_5_4_2023.docx&amp;wdOrigin=BROWSELI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FGPS 2019">
      <a:dk1>
        <a:srgbClr val="242021"/>
      </a:dk1>
      <a:lt1>
        <a:srgbClr val="FFFFFF"/>
      </a:lt1>
      <a:dk2>
        <a:srgbClr val="073445"/>
      </a:dk2>
      <a:lt2>
        <a:srgbClr val="F3F4F4"/>
      </a:lt2>
      <a:accent1>
        <a:srgbClr val="2C5261"/>
      </a:accent1>
      <a:accent2>
        <a:srgbClr val="7A232F"/>
      </a:accent2>
      <a:accent3>
        <a:srgbClr val="303030"/>
      </a:accent3>
      <a:accent4>
        <a:srgbClr val="C8C8C6"/>
      </a:accent4>
      <a:accent5>
        <a:srgbClr val="9E1C30"/>
      </a:accent5>
      <a:accent6>
        <a:srgbClr val="005A7C"/>
      </a:accent6>
      <a:hlink>
        <a:srgbClr val="005A7C"/>
      </a:hlink>
      <a:folHlink>
        <a:srgbClr val="66666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82BBDCC32AD74AB640967B88EF271F" ma:contentTypeVersion="25" ma:contentTypeDescription="Create a new document." ma:contentTypeScope="" ma:versionID="ec41d0824327515762ae4a8a0dd93d50">
  <xsd:schema xmlns:xsd="http://www.w3.org/2001/XMLSchema" xmlns:xs="http://www.w3.org/2001/XMLSchema" xmlns:p="http://schemas.microsoft.com/office/2006/metadata/properties" xmlns:ns1="http://schemas.microsoft.com/sharepoint/v3" xmlns:ns2="56ea17bb-c96d-4826-b465-01eec0dd23dd" xmlns:ns3="05d88611-e516-4d1a-b12e-39107e78b3d0" targetNamespace="http://schemas.microsoft.com/office/2006/metadata/properties" ma:root="true" ma:fieldsID="dcccc7f3b021689c323f31f2812160a9" ns1:_="" ns2:_="" ns3:_="">
    <xsd:import namespace="http://schemas.microsoft.com/sharepoint/v3"/>
    <xsd:import namespace="56ea17bb-c96d-4826-b465-01eec0dd23dd"/>
    <xsd:import namespace="05d88611-e516-4d1a-b12e-39107e78b3d0"/>
    <xsd:element name="properties">
      <xsd:complexType>
        <xsd:sequence>
          <xsd:element name="documentManagement">
            <xsd:complexType>
              <xsd:all>
                <xsd:element ref="ns2:UniqueSourceRef" minOccurs="0"/>
                <xsd:element ref="ns2:FileHash" minOccurs="0"/>
                <xsd:element ref="ns3:SharedWithUsers" minOccurs="0"/>
                <xsd:element ref="ns3:SharedWithDetails" minOccurs="0"/>
                <xsd:element ref="ns3:SharingHintHash" minOccurs="0"/>
                <xsd:element ref="ns3:LastSharedByTime" minOccurs="0"/>
                <xsd:element ref="ns3:LastSharedByUser" minOccurs="0"/>
                <xsd:element ref="ns1:DetailLink"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TagforRe_x002d_Or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5" nillable="true" ma:displayName="Detail Link" ma:description="Link for page for clicking through for details " ma:internalName="Detail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ea17bb-c96d-4826-b465-01eec0dd23dd" elementFormDefault="qualified">
    <xsd:import namespace="http://schemas.microsoft.com/office/2006/documentManagement/types"/>
    <xsd:import namespace="http://schemas.microsoft.com/office/infopath/2007/PartnerControls"/>
    <xsd:element name="UniqueSourceRef" ma:index="8" nillable="true" ma:displayName="UniqueSourceRef" ma:internalName="UniqueSourceRef">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Location" ma:index="21" nillable="true" ma:displayName="MediaServiceLocation" ma:internalName="MediaServiceLocation"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0efca0-e4bb-4e8d-9d61-7e4cbb849eb2"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TagforRe_x002d_Org" ma:index="32" nillable="true" ma:displayName="Tag for Re-Org" ma:format="Dropdown" ma:internalName="TagforRe_x002d_Or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88611-e516-4d1a-b12e-39107e78b3d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element name="LastSharedByTime" ma:index="13" nillable="true" ma:displayName="Last Shared By Time" ma:description="" ma:internalName="LastSharedByTime" ma:readOnly="true">
      <xsd:simpleType>
        <xsd:restriction base="dms:DateTime"/>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element name="TaxCatchAll" ma:index="29" nillable="true" ma:displayName="Taxonomy Catch All Column" ma:hidden="true" ma:list="{b0c5c2e3-fb76-4642-9669-5f51cb299f84}" ma:internalName="TaxCatchAll" ma:showField="CatchAllData" ma:web="05d88611-e516-4d1a-b12e-39107e78b3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ea17bb-c96d-4826-b465-01eec0dd23dd">
      <Terms xmlns="http://schemas.microsoft.com/office/infopath/2007/PartnerControls"/>
    </lcf76f155ced4ddcb4097134ff3c332f>
    <FileHash xmlns="56ea17bb-c96d-4826-b465-01eec0dd23dd" xsi:nil="true"/>
    <DetailLink xmlns="http://schemas.microsoft.com/sharepoint/v3">
      <Url xsi:nil="true"/>
      <Description xsi:nil="true"/>
    </DetailLink>
    <TagforRe_x002d_Org xmlns="56ea17bb-c96d-4826-b465-01eec0dd23dd" xsi:nil="true"/>
    <UniqueSourceRef xmlns="56ea17bb-c96d-4826-b465-01eec0dd23dd" xsi:nil="true"/>
    <TaxCatchAll xmlns="05d88611-e516-4d1a-b12e-39107e78b3d0" xsi:nil="true"/>
  </documentManagement>
</p:properties>
</file>

<file path=customXml/itemProps1.xml><?xml version="1.0" encoding="utf-8"?>
<ds:datastoreItem xmlns:ds="http://schemas.openxmlformats.org/officeDocument/2006/customXml" ds:itemID="{E8EF766F-90E1-468F-8977-4BA84978CE37}">
  <ds:schemaRefs>
    <ds:schemaRef ds:uri="http://schemas.openxmlformats.org/officeDocument/2006/bibliography"/>
  </ds:schemaRefs>
</ds:datastoreItem>
</file>

<file path=customXml/itemProps2.xml><?xml version="1.0" encoding="utf-8"?>
<ds:datastoreItem xmlns:ds="http://schemas.openxmlformats.org/officeDocument/2006/customXml" ds:itemID="{FA1445BC-3236-478D-B422-A6BA62795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ea17bb-c96d-4826-b465-01eec0dd23dd"/>
    <ds:schemaRef ds:uri="05d88611-e516-4d1a-b12e-39107e78b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EFA15-4728-4C59-B543-6D34C7C6DE2F}">
  <ds:schemaRefs>
    <ds:schemaRef ds:uri="http://schemas.microsoft.com/sharepoint/v3/contenttype/forms"/>
  </ds:schemaRefs>
</ds:datastoreItem>
</file>

<file path=customXml/itemProps4.xml><?xml version="1.0" encoding="utf-8"?>
<ds:datastoreItem xmlns:ds="http://schemas.openxmlformats.org/officeDocument/2006/customXml" ds:itemID="{F76AA3D0-15BE-480A-8468-F93135056BB0}">
  <ds:schemaRefs>
    <ds:schemaRef ds:uri="56ea17bb-c96d-4826-b465-01eec0dd23dd"/>
    <ds:schemaRef ds:uri="http://schemas.microsoft.com/sharepoint/v3"/>
    <ds:schemaRef ds:uri="http://purl.org/dc/terms/"/>
    <ds:schemaRef ds:uri="05d88611-e516-4d1a-b12e-39107e78b3d0"/>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3921</Words>
  <Characters>22261</Characters>
  <Application>Microsoft Office Word</Application>
  <DocSecurity>0</DocSecurity>
  <Lines>185</Lines>
  <Paragraphs>52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WorkforceGPS Basic Document Template</vt:lpstr>
      <vt:lpstr>Title Goes Here:  This Is “Heading 1”</vt:lpstr>
      <vt:lpstr>        If needed, this is “Subtitle”.</vt:lpstr>
      <vt:lpstr>    This style is called “Heading 2” (Populates ToC)</vt:lpstr>
      <vt:lpstr>        This style is called “Heading 3” (Populates ToC)</vt:lpstr>
      <vt:lpstr>    Callout Styles (below)</vt:lpstr>
      <vt:lpstr>    List Paragraph Styles (below)</vt:lpstr>
      <vt:lpstr>    Table Styles</vt:lpstr>
      <vt:lpstr>        GPS Table: Dark</vt:lpstr>
      <vt:lpstr>        GPS Table: Light</vt:lpstr>
      <vt:lpstr>    </vt:lpstr>
      <vt:lpstr>    Limited Use Items</vt:lpstr>
      <vt:lpstr>        ////////Floating Callout Boxes</vt:lpstr>
    </vt:vector>
  </TitlesOfParts>
  <Company>United States Department of Labor</Company>
  <LinksUpToDate>false</LinksUpToDate>
  <CharactersWithSpaces>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WorkforceGPS Basic Document Template</dc:title>
  <dc:subject>A generic Word document to be used for building 508-compliant documents</dc:subject>
  <dc:creator>Cheryl Robbins, Maher &amp; Maher, an IMPAQ Company</dc:creator>
  <cp:keywords>508 compliance template accessibility</cp:keywords>
  <dc:description/>
  <cp:lastModifiedBy>Amanda Brown</cp:lastModifiedBy>
  <cp:revision>14</cp:revision>
  <cp:lastPrinted>2019-08-22T16:21:00Z</cp:lastPrinted>
  <dcterms:created xsi:type="dcterms:W3CDTF">2023-12-12T14:59:00Z</dcterms:created>
  <dcterms:modified xsi:type="dcterms:W3CDTF">2023-12-12T17:14:00Z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0x010100FC82BBDCC32AD74AB640967B88EF271F</vt:lpwstr>
  </property>
  <property fmtid="{D5CDD505-2E9C-101B-9397-08002B2CF9AE}" pid="3" name="MediaServiceImageTags">
    <vt:lpwstr/>
  </property>
</Properties>
</file>