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9BE4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Laura Ibañez:</w:t>
      </w:r>
    </w:p>
    <w:p w14:paraId="5714D69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for your interest in the U.S. Department of Labor's 2024 Funding Opportunity Announcement for National Farmworker Jobs Program Career Services and Training Grants. The announcement refers to the U.S. Department of Labor as the Department or DOL. To read the funding opportunity announcement in full, download FOA-ETA-24-15 from Grants.gov.</w:t>
      </w:r>
    </w:p>
    <w:p w14:paraId="557A7A4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My name is Laura Ibañez, and I'm the unit chief for Specialty National Programs. And today, I'll be joined by Ashley Rodriguez and Dawn James-Taylor, workforce development specialists from the U.S. Department of Labor. You'll also hear from Carla Wills, grant officer from the Office of Grants Management. The objectives of this webcast are to provide information related to the features of the funding opportunity announcement, and include program purpose; project design; Workforce Innovation and Opportunity Act, also commonly referred to as WIOA, performance indicators and additional performance indicators; award information; eligibility for applicants; application submission requirements; application review information.</w:t>
      </w:r>
    </w:p>
    <w:p w14:paraId="56B22B4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purpose of the National Farmworker Jobs Program, also referred to as NFJP, is to strengthen the ability of migrant and seasonal farmworkers and their dependents to acquire necessary skills to either stabilize or advance in their agriculture jobs or obtain employment in new industries. Through this grant, National Farmworker Jobs Program grant recipients will facilitate the delivery of workforce solutions that are responsive to the needs of workers and employers of one to three targeted sectors, industry or cluster of occupations.</w:t>
      </w:r>
    </w:p>
    <w:p w14:paraId="0C32CD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Eligible migrant and seasonal farmworkers and their dependents, including youth and adults, will receive quality career services and training opportunities that lead to industry-recognized credentials and good jobs in agriculture and non-agriculture sectors. This may include development of pre-apprenticeship programs linked to a registered apprenticeship program or an initial development of a registered apprenticeship program.</w:t>
      </w:r>
    </w:p>
    <w:p w14:paraId="13FD0D5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Under the National Farmworker Jobs Program model, grant recipients are required to leverage their familiarity with agriculture industries and the labor market needs of the proposed service area, and their understanding of the challenges that migrant and seasonal farmworkers experience, such as wage theft, heat-related illness, exposure to pesticide, inferior housing, transportation barriers, limited access to healthcare, discrimination, and abuses such as human trafficking and sexual assault, to be better positioned to design, administer, and deliver effectively a diversified program of workforce investment activities.</w:t>
      </w:r>
    </w:p>
    <w:p w14:paraId="6DF601B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Each successful applicant under this funding opportunity announcement must spend not less than 70% of their awarded funds on employment and training services. For the purposes of this funding opportunity announcement, the term "employment and training services" means all allowable career services, training services, housing services, and youth services, including supportive services and related assistance services. Employment and training services does not include administrative costs.</w:t>
      </w:r>
    </w:p>
    <w:p w14:paraId="11ADE43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funding opportunity announcement includes related assistance services in the term "employment and training services," because the Department identifies related assistance services as falling under basic career services in Training and Employment Guidance Letter number 14-18, Appendix III, Table C. By including related assistance services in the term "employment and training services," National Farmworker Job Program grant recipients can provide related assistance services, including emergency assistance, to eligible migrant and seasonal farmworkers that need short-term forms of direct assistance to retain or stabilize their agricultural employment without limiting the number or proportion of eligible participants receiving related assistance services.</w:t>
      </w:r>
    </w:p>
    <w:p w14:paraId="5719C8B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This 70% requirement is intended to ensure that the program primarily addresses the employment and training needs of the target population while also allowing grantees to provide related services that are often critical to the stabilization and availability of the farm labor workforce. Accordingly, grantees may spend up to 30% of their awarded funds on a combination of administrative costs and other program costs, further subject to the administrative cost limitation of 15%. These details are specified in the funding opportunity announcement.</w:t>
      </w:r>
    </w:p>
    <w:p w14:paraId="1335ABB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Eligible participants may receive career services, training services, housing services, youth services, or related assistance services through the National Farmworker Jobs Program. Eligible participants include adults, ages 18 and older, and youth, ages 14 through 24. Participants may receive services as eligible seasonal farmworkers, eligible migrant farmworker adult, migrant and seasonal farmworker youth, who are low-income and employed in farmwork, as determined via the procedures described in Training and Employment Guidance Letter number 18-16, Change 1, or in successive guidance.</w:t>
      </w:r>
    </w:p>
    <w:p w14:paraId="0D09246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Additionally, participants may receive services as a dependent adult of an eligible migrant and seasonal farmworker or a dependent youth of an eligible migrant and seasonal farmworker, as defined in 20 CFR 685.110. Other key requirements for participants receiving services are described in the funding opportunity announcement. Now, I'm going to turn it over to Ashley to go over project design components.</w:t>
      </w:r>
    </w:p>
    <w:p w14:paraId="32C77C7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Ashley Rodriguez:</w:t>
      </w:r>
    </w:p>
    <w:p w14:paraId="29FE6EF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Laura. The period of performance is 51 months, and starts July 1, 2024 and ends September 30, 2028. Within this 51-month period, a recipient will receive an initial award in response to this funding opportunity announcement, commensurate with the funding request made for operations in year one. Annual awards are based on departmental application requirements and availability of funds.</w:t>
      </w:r>
    </w:p>
    <w:p w14:paraId="20F2F69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Each of these awards will be under a separate grant number having a fiscal 15-month period of performance from July 1 to September 30 of the subsequent calendar year. The grantee's annual allotment must be expended within the awarded 15-month time frame. While ETA measures performance on a 12-month program year, July 1 to June 30, the extra quarter in the period of performance allows grant recipients to have flexibility to absorb minor fluctuations in spending within the four-year cycle without the need to request extensions from year to year.</w:t>
      </w:r>
    </w:p>
    <w:p w14:paraId="23EB771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Under this funding opportunity announcement, DOL encourages applicants to submit a project design that either focuses only on the agricultural sector or include the agricultural sector as one of the one to three sectors for their proposed project design, especially given the agricultural sector's workforce challenges as well as its pivotal role in the nation's food security and economy.</w:t>
      </w:r>
    </w:p>
    <w:p w14:paraId="1B44A4F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Under the NFJP model, grant recipients are required to leverage their understanding of the challenges that migrant and seasonal farmworkers experience and familiarity with the agricultural industries and the labor market needs of the proposed service area to be better positioned to design, administer, and deliver effectively a diversified program of workforce investment activities.</w:t>
      </w:r>
    </w:p>
    <w:p w14:paraId="3378877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Responsive applications will fully integrate the five core elements, which are: one, Good Jobs Principles. Good jobs are the foundation of an equitable economy that lifts workers and families and makes businesses more competitive. Applicants must select and implement at least two of the Department's Good Jobs Principles. These principles include: one, recruitment and hiring; two, benefits; three, diversity, equity, inclusion, and accessibility; four, empowerment and representation; five, job security and working conditions; six, organizational culture; seven, pay; or eight, skills and career advancement.</w:t>
      </w:r>
    </w:p>
    <w:p w14:paraId="31F2D3B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Two, worker-centered, sector-based training and employer partnerships. Applicants must select one to three sectors on which to focus. While DOL does not generally expect that all NFJP applicants will lead or </w:t>
      </w:r>
      <w:r>
        <w:rPr>
          <w:rFonts w:ascii="Calibri" w:eastAsia="Calibri" w:hAnsi="Calibri" w:cs="Calibri"/>
          <w:color w:val="000000"/>
          <w:sz w:val="22"/>
        </w:rPr>
        <w:lastRenderedPageBreak/>
        <w:t>be part of a full-scale regional sector strategy, this funding opportunity announcement requires applicants to demonstrate that they will incorporate and embed key elements of worker-centered, sector-based training into their project design.</w:t>
      </w:r>
    </w:p>
    <w:p w14:paraId="4BB1501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Three, other strategic partnerships. Applicants must describe a plan to establish or maintain partnerships with required and optional partners. These strategic partnerships play a key role in crafting an effective sector strategy for migrant and seasonal farmworkers and their dependents. Mandatory partnerships include the state workforce agencies, state monitor advocate, and all local workforce development boards in the proposed service area.</w:t>
      </w:r>
    </w:p>
    <w:p w14:paraId="6C59CA0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For the purpose of this funding opportunity announcement, a service area must include a state and a specific county or counties within a state. The smallest unit of service area for this program is a county or counties. Applicants must describe coordination with other partners, such as organizations that serve historically marginalized populations and communities.</w:t>
      </w:r>
    </w:p>
    <w:p w14:paraId="4BA7982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These partners may include, but are not limited to, civil rights organizations; community-based organizations and worker centers; educational institutions; industry associations and private sector business; farmworker associations and local farmers' cooperatives; farmworker-serving organizations; and other partners, including federally funded programs for farmworkers that work with specific underserved populations, to promote movement into career pathways leading to good jobs for farmworkers, including those from underserved subpopulations.</w:t>
      </w:r>
    </w:p>
    <w:p w14:paraId="7784D98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Four, outreach, enrollment, and referral. Continuous outreach is a key part to establishing trust with farmworker communities and is essential to effectively administer NFJP in your proposed service area. NFJP grant recipients play a critical role in reaching farmworker communities who experience multiple barriers to accessing community resources. NFJP grant recipients are responsible to conduct outreach to farmworkers and their dependents in the approved service area to recruit potential applicants, as well as help farmworkers, who are not eligible and eligible for the program, connect to other workforce development services and community resources.</w:t>
      </w:r>
    </w:p>
    <w:p w14:paraId="3E99BCD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Five, case management. Case management is a collaborative, customer-driven process whereby a range of services are provided to assist participants in realizing their career goals and improve access to needed supportive services and other essential services. Case managers, also known as career coaches and caseworkers, routinely assess the needs of participants and arrange, coordinate, monitor, evaluate, and advocate for comprehensive packages of services to meet the specific needs of NFJP participants. Case management must begin at the time of and continue throughout the participants' participation in the program, including through the follow-up period.</w:t>
      </w:r>
    </w:p>
    <w:p w14:paraId="2AEEC2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Ultimately, an applicant's project design must result in increased access to good jobs, livable wages, and an improved quality of life for migrant and seasonal farmworkers and their dependents. Applicants are not required to propose targets for WIOA performance indicators in their application for this funding opportunity announcement, because the Department plans to use the Employment and Training Administration's statistical adjustment model results as departure points to negotiate and establish targets for WIOA performance indicators. See Appendix D to view proposed goals for WIOA performance indicators.</w:t>
      </w:r>
    </w:p>
    <w:p w14:paraId="24AE30C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statistical adjustment model factors demographic information for participants served by grantees, economic factors in states, and contextual variables from Local Area Unemployment Statistics, the Quarterly Census of Employment and Wages, and the American Community Survey. Within the three months after award, the Department will establish final goals for WIOA performance indicators for each selected grantee and incorporate them into every NFJP grant agreement. Please note that applicants will be held to performance goals provided, and failure to meet those targets may result in technical </w:t>
      </w:r>
      <w:r>
        <w:rPr>
          <w:rFonts w:ascii="Calibri" w:eastAsia="Calibri" w:hAnsi="Calibri" w:cs="Calibri"/>
          <w:color w:val="000000"/>
          <w:sz w:val="22"/>
        </w:rPr>
        <w:lastRenderedPageBreak/>
        <w:t>assistance or other intervention by ETA, and may also have a significant impact on decisions about future grants with ETA.</w:t>
      </w:r>
    </w:p>
    <w:p w14:paraId="4991E6E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a grantee plans to enroll adult participants, the Department will establish goals for the following adult performance indicators. Employment rate, second quarter after exit, percentage of participants in unsubsidized employment during the second quarter after exit. Employment rate, fourth quarter after exit, percentage of participants who are in unsubsidized employment during the fourth quarter after exit. Median earnings, second quarter after exit, median earnings of participants who are in unsubsidized employment during the second quarter after exit.</w:t>
      </w:r>
    </w:p>
    <w:p w14:paraId="7D5531D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Credential attainment, percentage of those participants enrolled in an education or training program, excluding those in on-the-job training, OJT, and customized training, who attain a recognized postsecondary credential or a secondary school diploma, or its recognized equivalent, during participation in or within one year after exit.</w:t>
      </w:r>
    </w:p>
    <w:p w14:paraId="48660F3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p>
    <w:p w14:paraId="0E61E86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Measurable skill gains, percentage of participants who, during a program year, are in an education or training program that leads to a recognized postsecondary credential or employment and who are achieving measurable skill gains, defined as documented academic, technical, occupational, or other forms of progress towards such a credential or employment. And effectiveness in serving employers, percentage of participants who exit and are employed with the same employer in the second and fourth quarters after exit.</w:t>
      </w:r>
    </w:p>
    <w:p w14:paraId="5D1C845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a grantee plans to enroll youth participants, the Department will establish goals for the following youth performance indicators. Education and employment rate, second quarter after exit, percentage of participants who are in education or training activities, or unsubsidized employment during the second quarter after exit. Education and employment rate, fourth quarter after exit, percentage of participants who are in education or training activities, or in unsubsidized employment during the fourth quarter after exit from the program.</w:t>
      </w:r>
    </w:p>
    <w:p w14:paraId="2A0DD2C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Median earnings, second quarter after exit, median earnings of participants who are in unsubsidized employment during the second quarter after exit. Credential attainment, the percentage of those participants enrolled in an education or training program, excluding those in on-the-job training, OJT, and customized training, who attain a recognized postsecondary credential or a secondary school diploma, or its recognized equivalent, during participation in or within one year after exit from the program.</w:t>
      </w:r>
    </w:p>
    <w:p w14:paraId="6F5CCA1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p>
    <w:p w14:paraId="55C23A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Measurable skill gains, percentage of program participants who, during a program year, are in an education or training program that leads to a recognized postsecondary credential or employment and who are achieving measurable skill gains, defined as documented academic, technical, occupational, or other forms of progress toward such a credential or employment. And effectiveness in serving employers, percentage of participants who exit and are employed with the same employer in the second and fourth quarters after exit.</w:t>
      </w:r>
    </w:p>
    <w:p w14:paraId="173E145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Under this funding opportunity announcement, applicants are required to propose goals for additional performance indicators. These additional performance indicators include outreach contacts; participant enrollment levels, which is also referred to as the minimum number of participants enrolled in this funding opportunity announcement; and subset of performance indicators to measure progress towards achieving goals for a minimum of two good job principles.</w:t>
      </w:r>
    </w:p>
    <w:p w14:paraId="439EC7C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Department will establish final goals for these additional performance indicators within three months after the award and will incorporate them into every NFJP grant agreement. The goals for these additional performance indicators for program year 2024 will be used to negotiate and establish goals for the three subsequent years of this four-year NFJP competition cycle. Reporting instructions for quarterly financial reports, quarterly performance reports, and quarterly narrative reports are explained in the funding opportunity announcement. Now, I'm going to turn it over to Dawn to go over eligible applicants components. Dawn?</w:t>
      </w:r>
    </w:p>
    <w:p w14:paraId="3D62573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Dawn James-Taylor:</w:t>
      </w:r>
    </w:p>
    <w:p w14:paraId="00B9790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Ashley. Per Section 167(b) of WIOA and 20 CFR 685.200, to be eligible to receive an NFJP grant, an entity must have, one, an understanding of the problems of eligible migrant and seasonal farmworkers, including their dependents; two, a familiarity with the agricultural industries and the labor market needs of the proposed service area; three, and the ability to demonstrate a capacity to administer and deliver effectively a diversified program of workforce investment activities, including youth workforce investment activities, and related assistance for eligible migrant and seasonal farmworkers.</w:t>
      </w:r>
    </w:p>
    <w:p w14:paraId="6663FDE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Project Narrative section of this funding opportunity announcement is assigned to elicit information from the applicants to demonstrate these three qualities. The Department encourages education and training providers, advocacy agencies, labor or worker organizations, industry representatives, and organizations that provide services to farmworkers and other populations facing multiple barriers to employment to consider applying for this announcement.</w:t>
      </w:r>
    </w:p>
    <w:p w14:paraId="25100E9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Due to the Department's interest in focusing on sector-based training that results in good-quality jobs in the agricultural sector and non-agricultural sectors, this funding opportunity announcement focuses on supporting the sustainability of successful programs while encouraging new applicants to propose innovative program models. In this grant competition, DOL has established two distinct categories to apply for NFJP awards: Category A applicants and Category B applicants.</w:t>
      </w:r>
    </w:p>
    <w:p w14:paraId="740B7D7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DOL intends to award at least 50% of the total available grant competition funding to applicants that received an NFJP award in the most recent competition cycle, program years 2020 to 2023, referred to as Category A applicants. DOL intends to award the remainder of grant funds to other eligible applicants that did not receive an NFJP award in the most recent competition cycle, program years 2020 to 2023, referred to as Category B applicants.</w:t>
      </w:r>
    </w:p>
    <w:p w14:paraId="77D9C95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With this mix of grant recipients, DOL intends to give organizations with experience delivering employment and training services, but with little or no experience with a DOL NFJP grant, an opportunity to implement such a program, while also allowing opportunities for previously funded NFJP grantees with a record of success to continue to deliver services.</w:t>
      </w:r>
    </w:p>
    <w:p w14:paraId="790E4A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intended proportion of Category A and Category B awards is contingent upon the receipt of responsive competitive applications under those categories. This funding opportunity announcement focuses on supporting successful programs and sector-based training while encouraging new applicants to propose innovative program models, especially those focusing on the agricultural sector. In support of these goals, the Department intends to award the number of grants in each state as described in the </w:t>
      </w:r>
      <w:r>
        <w:rPr>
          <w:rFonts w:ascii="Calibri" w:eastAsia="Calibri" w:hAnsi="Calibri" w:cs="Calibri"/>
          <w:color w:val="000000"/>
          <w:sz w:val="22"/>
        </w:rPr>
        <w:lastRenderedPageBreak/>
        <w:t>funding opportunity announcement, which will allow for greater competition within states with relatively large migrant and seasonal farmworker populations and program funding allotments.</w:t>
      </w:r>
    </w:p>
    <w:p w14:paraId="3445464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For this funding opportunity announcement, we expect availability of approximately 90 million to fund approximately 50 to 75 career services and training grants. In distributing funds, ETA calculates allotment for career services and training grantees through an administrative formula. The formula's original methodology is described in a notice published in the Federal Register at 64 FR 27390, May 19, 1999, and subsequently updated in the Federal Register notice 86 FR 32063 on June 16, 2021.</w:t>
      </w:r>
    </w:p>
    <w:p w14:paraId="60A54D8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number of available grants per state depends on available allotment per state. The funding opportunity announcement provides information on the intended number of grants, the minimum grant amount, and the maximum grant amount per state. The Department plans to award at least one career services and training grant in each state and Puerto Rico, but excluding Alaska and the District of Columbia.</w:t>
      </w:r>
    </w:p>
    <w:p w14:paraId="409C486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Department will not award an NFJP grant to Alaska or the District of Columbia in this competition based on estimated low number of eligible migrant and seasonal farmworkers. The estimated funding level will be insufficient for administering a program. Under this funding opportunity announcement, in instances where the Department does not receive any competitive applications from eligible applicants in a given state, the Department will not reopen this competition to seek prospective applicants to provide services in that state. See the merit review and the Selection Process section in the funding opportunity announcement for additional details.</w:t>
      </w:r>
    </w:p>
    <w:p w14:paraId="469263C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applicants must clearly propose a minimum number of participants, including adult participants, youth participants, or both adult and youth participants, who will be enrolled during program year 2024 based on the minimums identified in Figure 1, for which the applicants are seeking funding. For participants who are ages 18 to 24, grantees will need to either enroll them as an adult or youth, but not both.</w:t>
      </w:r>
    </w:p>
    <w:p w14:paraId="790A59E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Note, the minimum number of participants does not include reportable individuals who receive services that do not trigger inclusion as participants. Applicants do not need to establish a goal for the number of reportable individuals who will receive these nonparticipation services as listed in Training and Employment Guidance Letter number 14-18, Appendix III, Table C.</w:t>
      </w:r>
    </w:p>
    <w:p w14:paraId="1D28BF6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During the period of performance, the Employment and Training Administration will assess a grantee's program's cost per participant as an indicator of how well a grantee is recruiting participants and providing quality career services and training. However, it is important to note that there is not a cost-per-individual limit under NFJP and, if necessary, grantees may spend more than their estimated average cost per participant for an individual if it is necessary to help a participant successfully complete career services and training.</w:t>
      </w:r>
    </w:p>
    <w:p w14:paraId="3F429D7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In these circumstances, grantees will be required to explain any differences in their Joint Quarterly Narrative Performance Report Template, ETA Form 9179. The funding opportunity announcement includes other information and web-based resources that may be of assistance to applicants. For web-based resources, we encourage you to view the CareerOneStop portal, which provides national and state career information on occupations; the Service Locator function within the CareerOneStop web page, which provides a directory of the nation's American Job Centers, also known as one-stop centers; and the Occupational Information Network, O*NET </w:t>
      </w:r>
      <w:proofErr w:type="spellStart"/>
      <w:r>
        <w:rPr>
          <w:rFonts w:ascii="Calibri" w:eastAsia="Calibri" w:hAnsi="Calibri" w:cs="Calibri"/>
          <w:color w:val="000000"/>
          <w:sz w:val="22"/>
        </w:rPr>
        <w:t>OnLine</w:t>
      </w:r>
      <w:proofErr w:type="spellEnd"/>
      <w:r>
        <w:rPr>
          <w:rFonts w:ascii="Calibri" w:eastAsia="Calibri" w:hAnsi="Calibri" w:cs="Calibri"/>
          <w:color w:val="000000"/>
          <w:sz w:val="22"/>
        </w:rPr>
        <w:t>, which provides occupational competency profiles.</w:t>
      </w:r>
    </w:p>
    <w:p w14:paraId="799FC50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Also, ETA supports an industry competency model to promote an understanding of the skill sets and competencies that are essential to an educated and skilled workforce. A competency model is a collection of competencies that, taken together, define successful performance in a particular work </w:t>
      </w:r>
      <w:r>
        <w:rPr>
          <w:rFonts w:ascii="Calibri" w:eastAsia="Calibri" w:hAnsi="Calibri" w:cs="Calibri"/>
          <w:color w:val="000000"/>
          <w:sz w:val="22"/>
        </w:rPr>
        <w:lastRenderedPageBreak/>
        <w:t>setting. Competency models serve as a starting point for the design and implementation of workforce and talent development programs.</w:t>
      </w:r>
    </w:p>
    <w:p w14:paraId="0156A5D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 learn about the industry-validated models, visit the Competency Model Clearinghouse. This site also provides tools to build or customize industry models, as well as tools to build career ladders and career lattices for specific regional economies. We encourage you to view the information on workforce resources gathered through consultation with federal agency partners, industry stakeholders, educators, and local practitioners, and made available on WorkforceGPS.</w:t>
      </w:r>
    </w:p>
    <w:p w14:paraId="7424EC2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created System Strategies resources to make it easier for the public workforce systems and its partners to identify effective strategies and support improved customer outcome. The collection highlights strategies informed by a wide range of evidence, such as experimental studies, implementation evaluations, as well as supporting resources, such as toolkits. We encourage you to review these resources.</w:t>
      </w:r>
    </w:p>
    <w:p w14:paraId="4784F6E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created a technical assistance portal named Grant Application and Management Portal that contains online training and resources for fiscal and administrative issues. Online trainings available include, but not limited to, Introduction to Grant Applications and Forms, Indirect Costs, Cost Principles, and Accrual Accounting.</w:t>
      </w:r>
    </w:p>
    <w:p w14:paraId="5300D3A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Additionally, we encourage you to view the NFJP resources available on WorkforceGPS Agricultural Connection community of practice site. For example, the Core Monitoring Guide, CMG, and the Supplement to the CMG are tools that federal staff use to assess the compliance of a grant recipient in meeting the requirements outlined in the grant agreement.</w:t>
      </w:r>
    </w:p>
    <w:p w14:paraId="61C4C8C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also encourage you to view </w:t>
      </w:r>
      <w:proofErr w:type="spellStart"/>
      <w:r>
        <w:rPr>
          <w:rFonts w:ascii="Calibri" w:eastAsia="Calibri" w:hAnsi="Calibri" w:cs="Calibri"/>
          <w:color w:val="000000"/>
          <w:sz w:val="22"/>
        </w:rPr>
        <w:t>SkillsCommons</w:t>
      </w:r>
      <w:proofErr w:type="spellEnd"/>
      <w:r>
        <w:rPr>
          <w:rFonts w:ascii="Calibri" w:eastAsia="Calibri" w:hAnsi="Calibri" w:cs="Calibri"/>
          <w:color w:val="000000"/>
          <w:sz w:val="22"/>
        </w:rPr>
        <w:t xml:space="preserve"> resources, which offer an online library of curriculum and related training resources to obtain industry-recognized credentials in manufacturing, IT, healthcare, energy, and other industries. The website contains thousands of open educational resources, OER, for the job-driven workforce development, which are produced by grantees funded through DOL's Trade Adjustment Assistance Community College and Career Training, TAACCCT, program.</w:t>
      </w:r>
    </w:p>
    <w:p w14:paraId="5557074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Community colleges and other training providers across the nation can reuse, revise, and redistribute, and reorganize the OER on </w:t>
      </w:r>
      <w:proofErr w:type="spellStart"/>
      <w:r>
        <w:rPr>
          <w:rFonts w:ascii="Calibri" w:eastAsia="Calibri" w:hAnsi="Calibri" w:cs="Calibri"/>
          <w:color w:val="000000"/>
          <w:sz w:val="22"/>
        </w:rPr>
        <w:t>SkillsCommons</w:t>
      </w:r>
      <w:proofErr w:type="spellEnd"/>
      <w:r>
        <w:rPr>
          <w:rFonts w:ascii="Calibri" w:eastAsia="Calibri" w:hAnsi="Calibri" w:cs="Calibri"/>
          <w:color w:val="000000"/>
          <w:sz w:val="22"/>
        </w:rPr>
        <w:t xml:space="preserve"> for institutional, industry, and individual use. The hyperlinks to these resources are available in the funding opportunity announcement. Additionally, you will find the hyperlinks to the Training and Employment Guidance Letters that were mentioned in this webcast in the funding opportunity announcement. Now, I'm going to hand it over to Carla to go over application submission requirements.</w:t>
      </w:r>
    </w:p>
    <w:p w14:paraId="06BE32B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Carla Wills:</w:t>
      </w:r>
    </w:p>
    <w:p w14:paraId="49AC51C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Dawn. The funding opportunity announcement requests application packages consisting of four separate and distinct parts. One, the Standard Form, SF-424, Application for Federal Assistance; two, the project budget, which consists of the SF-424A form and the Budget Narrative; three, the Project Narrative; and four, attachments to the Project Narrative.</w:t>
      </w:r>
    </w:p>
    <w:p w14:paraId="72C9003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Let's discuss the SF-424 and the project budget first. The SF-424 Application for Federal Assistance contains important information regarding an organization's funding request. An application package without this form is deemed nonresponsive, and it will not go forward for merit panel review. It is important to note the following about the SF-424. The SF-424 requests an applicant's Unique Entity Identifier, UEI number. An SF-424 without this number will be disqualified.</w:t>
      </w:r>
    </w:p>
    <w:p w14:paraId="241A83D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UEI is a 12-character alphanumeric code that uniquely identifies all entities. A UEI number is issued for free as part of the SAM.gov registration process. Applicants must register with the System for Award </w:t>
      </w:r>
      <w:r>
        <w:rPr>
          <w:rFonts w:ascii="Calibri" w:eastAsia="Calibri" w:hAnsi="Calibri" w:cs="Calibri"/>
          <w:color w:val="000000"/>
          <w:sz w:val="22"/>
        </w:rPr>
        <w:lastRenderedPageBreak/>
        <w:t>Management, SAM, before submitting an application by visiting the website on this slide. A recipient must maintain an active SAM registration with current information at all times during which it has an active federal award or an application under consideration.</w:t>
      </w:r>
    </w:p>
    <w:p w14:paraId="2841AA8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Organizations must update registrations at least every 12 months, or as required to update for accuracy. Applicants without an active SAM registration will have their application packages disqualified. Also required for this funding opportunity announcement is completion of Field 14 on the SF-424, which is called Areas Affected by Projects. In that field, applicants must include the names of the counties in the proposed project service area within one state.</w:t>
      </w:r>
    </w:p>
    <w:p w14:paraId="7A38A0F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Let's discuss the project budget next. The project budget must consist of the SF-424A, Budget Information Form, and the Budget Narrative. Section IV of the funding opportunity announcement explains the requirements of these documents as well as how these documents are scored during the panel review. However, failure to submit either of these documents will deem an application package nonresponsive, and it will not go forward for panel review.</w:t>
      </w:r>
    </w:p>
    <w:p w14:paraId="6983F0F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is the applicant's responsibility to ensure that the funding amount requested is consistent across the SF-424, SF-424A, and Budget Narrative. Dawn indicated earlier in the presentation, but it bears repeating, applicants must request grant funding that is commensurate with the scope and scale of the project proposed, but only for the first year of operation in program year 2024.</w:t>
      </w:r>
    </w:p>
    <w:p w14:paraId="05C0B18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Section II of the FOA indicates that successful applicants who receive an award in program year 2024 will also receive annual awards in the three subsequent program years based on annual departmental application requirements and subject to appropriated funding. Next, let's discuss the Project Narrative component of the application package. Applicants will most likely spend most of their time preparing this piece. The Project Narrative must demonstrate an organization's capability to implement the grant project in accordance with the provision of this funding opportunity announcement.</w:t>
      </w:r>
    </w:p>
    <w:p w14:paraId="4C66D0B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must provide a comprehensive framework and description of all aspects of the proposed project. It must be succinct, self-explanatory, and well-organized so that reviewers can understand the proposed project. Please see Section IV.B.3 for complete guidance on preparing the Project Narrative. It will be evaluated using the evaluation criteria identified in Section V.A.</w:t>
      </w:r>
    </w:p>
    <w:p w14:paraId="1F63074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Project Narrative is limited to 25 double-spaced, single-sided, 8.5-by-11-inch pages with Times New Roman 12-point text font and one-inch margins. We do encourage the use of tables where useful. Tables must be legible but are not required to be 12-point font. Please also number the pages of the Project Narrative beginning with page number 1.</w:t>
      </w:r>
    </w:p>
    <w:p w14:paraId="351B0B1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Please note, any materials beyond the specified page limit will not be reviewed or considered in the application review process. In addition to Project Narrative, applicants must submit attachments. All attachments must be clearly labeled and submitted per the instructions found in Section IV.B.4 of the funding opportunity announcement.</w:t>
      </w:r>
    </w:p>
    <w:p w14:paraId="6985DC4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Note that all attachments are excluded from the Project Narrative 25-page limit. Omission of the attachments will not result in your application being disqualified. However, the lack of the required information on some of the attachments may impact scoring. Please do not include additional materials such as résumés or general letters of support. These will not be considered.</w:t>
      </w:r>
    </w:p>
    <w:p w14:paraId="4F5F947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please do remember that organizations must submit their application in one package. The table on this slide, which is also found in Section III of the funding opportunity announcement, is an important tool to use when preparing your application package to ensure the application has met all screening criteria. If any items on this list are not complete, your application will be deemed nonresponsive and removed from going forward for panel review.</w:t>
      </w:r>
    </w:p>
    <w:p w14:paraId="20CF4D7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Note that this checklist is only an aid for applicants and should not be included in the application package. However, we urge you to use this checklist to ensure your application meets all requirements. This next slide summarizes the evaluation criteria against which an organization's application will be scored, as well as their point values.</w:t>
      </w:r>
    </w:p>
    <w:p w14:paraId="4BDB4C2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table can be found in Section V of the funding opportunity announcement. We have instituted procedures for assessing the technical merit of applications to provide for their objective review, as well as to assist you in understanding the standards against which your application will be judged. The evaluation criteria on this slide are based on the information required in the application, as described in Sections IV.B.2, regarding the project budget, and IV.B.3, regarding the Project Narrative.</w:t>
      </w:r>
    </w:p>
    <w:p w14:paraId="37048AE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Let's continue to build upon the subject of the evaluation criteria using this next slide. Reviewers will award points for each scoring criterion based on an assessment of how well the applicant addressed a rating factor. As illustrated by this chart, if the applicant thoroughly meets the rating factor, meaning the application thoroughly responds to the rating factor and fully and convincingly satisfies all stated specifications, then they receive full points for that criteria.</w:t>
      </w:r>
    </w:p>
    <w:p w14:paraId="4451452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an applicant partially meets the rating factor, meaning the application responds incompletely to the rating factor or convincingly satisfy some but not all specifications, then they receive half points for it. If an applicant fails to meet a rating factor, meaning the applicant does not respond to the rating factor, or the response does not convincingly satisfy any of the stated specifications, then they receive zero points for it.</w:t>
      </w:r>
    </w:p>
    <w:p w14:paraId="7CD72B2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Please note, full points will not be given for simply repeating the requirements in the funding opportunity announcement. To receive full points, the applicant must describe, in their own words, how they will meet the stated requirements and convincingly demonstrate that they are using a sound approach. Please see the funding opportunity announcement for the full description of each scoring criterion and read it carefully.</w:t>
      </w:r>
    </w:p>
    <w:p w14:paraId="659F81A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Closing date for the funding opportunity announcement is May 3rd, 2024. Applicants are encouraged to submit their application well before the closing date to minimize the risk of late receipt. We will not review applications received after 11:59 PM Eastern Time on the closing date. We will not accept applications sent by hard copy, email, telegram, or fax. Applicants must apply through Grants.gov.</w:t>
      </w:r>
    </w:p>
    <w:p w14:paraId="333D177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your organization is not registered with Grants.gov, you must go through this process. These steps may take as long as four weeks to complete, and this time must be factored into your application timeline. Section IV of the funding opportunity announcement contains details on how to register to apply through Grants.gov, as well as how to submit your application through Grants.gov. It is the applicant's responsibility to ensure a timely submission.</w:t>
      </w:r>
    </w:p>
    <w:p w14:paraId="49BA147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Following application submission, Grants.gov will subsequently validate the application. Please note that the validation does not mean that your application has been accepted as complete or has been accepted for review by the agency. Rather, Grants.gov verifies only the submission of certain parts of an application. Please also note the application process can be complicated and time-consuming. We strongly advise applicants to initiate the process as soon as possible and to plan for time to submit a complete and quality application, as well as to resolve any technical problems encountered when submitting the application through Grants.gov.</w:t>
      </w:r>
    </w:p>
    <w:p w14:paraId="02B0B43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During application drafting, organizations may have questions regarding the content of the funding opportunity announcement. These questions may be emailed to nfjp.ogm@dol.gov. That's nfjp.ogm@dol.gov. Please include the organization name; the point of contact's name, title, and contact information; as well as reference the FOA number, FOA-ETA-24-15, in the subject line.</w:t>
      </w:r>
    </w:p>
    <w:p w14:paraId="4FFF3DC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If applicants are experiencing technical difficulties with application submission through Grants.gov, applicants must contact Grants.gov directly. This slide provides options for this, including a customer support representative directly or emailing the help desk. The Grants.gov Contact Center is open 24 hours a day, seven days a week, but it is closed on federal holidays.</w:t>
      </w:r>
    </w:p>
    <w:p w14:paraId="0DF30A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concludes our prospective applicant webinar. It bears repeating that should you have any questions on the FOA content, please contact nfjp.ogm@dol.gov, as illustrated on this slide. Thank you for your interest in this funding opportunity announcement for the National Farmworker Jobs Program's Career Service and Training Grant. We hope you found this helpful for your application process.</w:t>
      </w:r>
    </w:p>
    <w:p w14:paraId="3FD8CCB0"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77596" w14:textId="77777777" w:rsidR="007F4680" w:rsidRDefault="007F4680">
      <w:r>
        <w:separator/>
      </w:r>
    </w:p>
  </w:endnote>
  <w:endnote w:type="continuationSeparator" w:id="0">
    <w:p w14:paraId="1F4F9EC4" w14:textId="77777777" w:rsidR="007F4680" w:rsidRDefault="007F4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2"/>
      <w:gridCol w:w="7661"/>
      <w:gridCol w:w="1914"/>
    </w:tblGrid>
    <w:tr w:rsidR="00C47EEB" w14:paraId="1358C57A" w14:textId="77777777" w:rsidTr="00C47EEB">
      <w:tc>
        <w:tcPr>
          <w:tcW w:w="2222" w:type="pct"/>
          <w:tcBorders>
            <w:top w:val="nil"/>
            <w:left w:val="nil"/>
            <w:bottom w:val="nil"/>
            <w:right w:val="nil"/>
          </w:tcBorders>
        </w:tcPr>
        <w:p w14:paraId="549289F7" w14:textId="77777777" w:rsidR="00C47EEB" w:rsidRDefault="00C47EEB" w:rsidP="00C47EEB">
          <w:pPr>
            <w:rPr>
              <w:color w:val="0000FF"/>
              <w:u w:val="single"/>
            </w:rPr>
          </w:pPr>
          <w:r>
            <w:rPr>
              <w:color w:val="808080"/>
            </w:rPr>
            <w:t>National Farmworker Jobs Program Career Services and Training Funding Opportunity Act Webcast</w:t>
          </w:r>
        </w:p>
        <w:p w14:paraId="6E73BAF1" w14:textId="77777777" w:rsidR="00C47EEB" w:rsidRDefault="00C47EEB" w:rsidP="00C47EEB"/>
      </w:tc>
      <w:tc>
        <w:tcPr>
          <w:tcW w:w="2222" w:type="pct"/>
          <w:tcBorders>
            <w:top w:val="nil"/>
            <w:left w:val="nil"/>
            <w:bottom w:val="nil"/>
            <w:right w:val="nil"/>
          </w:tcBorders>
          <w:noWrap/>
        </w:tcPr>
        <w:p w14:paraId="11A624F0" w14:textId="250290A4" w:rsidR="00C47EEB" w:rsidRDefault="00C47EEB" w:rsidP="00C47EEB"/>
      </w:tc>
      <w:tc>
        <w:tcPr>
          <w:tcW w:w="555" w:type="pct"/>
          <w:tcBorders>
            <w:top w:val="nil"/>
            <w:left w:val="nil"/>
            <w:bottom w:val="nil"/>
            <w:right w:val="nil"/>
          </w:tcBorders>
          <w:noWrap/>
        </w:tcPr>
        <w:p w14:paraId="2DE3B30D" w14:textId="77777777" w:rsidR="00C47EEB" w:rsidRDefault="00C47EEB" w:rsidP="00C47EEB">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p w14:paraId="4F9CA54C" w14:textId="77777777" w:rsidR="00141758" w:rsidRDefault="001417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04730" w14:textId="77777777" w:rsidR="007F4680" w:rsidRDefault="007F4680">
      <w:r>
        <w:separator/>
      </w:r>
    </w:p>
  </w:footnote>
  <w:footnote w:type="continuationSeparator" w:id="0">
    <w:p w14:paraId="16136638" w14:textId="77777777" w:rsidR="007F4680" w:rsidRDefault="007F4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4"/>
    </w:tblGrid>
    <w:tr w:rsidR="00141758" w14:paraId="0B362F3F" w14:textId="77777777">
      <w:tc>
        <w:tcPr>
          <w:tcW w:w="5000" w:type="pct"/>
          <w:tcBorders>
            <w:top w:val="nil"/>
            <w:left w:val="nil"/>
            <w:bottom w:val="nil"/>
            <w:right w:val="nil"/>
          </w:tcBorders>
          <w:noWrap/>
        </w:tcPr>
        <w:p w14:paraId="64995931" w14:textId="0482091F" w:rsidR="00141758" w:rsidRDefault="00D53E28">
          <w:pPr>
            <w:rPr>
              <w:color w:val="0000FF"/>
              <w:u w:val="single"/>
            </w:rPr>
          </w:pPr>
          <w:r>
            <w:rPr>
              <w:color w:val="808080"/>
            </w:rPr>
            <w:t>National Farmworker Jobs Program Career Services and Training Funding Opportunity Act Webcast</w:t>
          </w:r>
        </w:p>
        <w:p w14:paraId="69FF88F6" w14:textId="77777777" w:rsidR="00141758" w:rsidRDefault="00141758">
          <w:pPr>
            <w:rPr>
              <w:color w:val="000000"/>
            </w:rPr>
          </w:pPr>
        </w:p>
      </w:tc>
    </w:tr>
  </w:tbl>
  <w:p w14:paraId="38BF2A40" w14:textId="77777777" w:rsidR="00141758" w:rsidRDefault="0014175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141758"/>
    <w:rsid w:val="00500531"/>
    <w:rsid w:val="007F4680"/>
    <w:rsid w:val="00A77B3E"/>
    <w:rsid w:val="00C47EEB"/>
    <w:rsid w:val="00CA2A55"/>
    <w:rsid w:val="00D53E28"/>
    <w:rsid w:val="00DD2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C6EE8"/>
  <w15:docId w15:val="{50F6E19C-679F-4FF8-983D-0B1C8F8C8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53E28"/>
    <w:pPr>
      <w:tabs>
        <w:tab w:val="center" w:pos="4680"/>
        <w:tab w:val="right" w:pos="9360"/>
      </w:tabs>
    </w:pPr>
  </w:style>
  <w:style w:type="character" w:customStyle="1" w:styleId="HeaderChar">
    <w:name w:val="Header Char"/>
    <w:basedOn w:val="DefaultParagraphFont"/>
    <w:link w:val="Header"/>
    <w:rsid w:val="00D53E28"/>
    <w:rPr>
      <w:sz w:val="24"/>
      <w:szCs w:val="24"/>
    </w:rPr>
  </w:style>
  <w:style w:type="paragraph" w:styleId="Footer">
    <w:name w:val="footer"/>
    <w:basedOn w:val="Normal"/>
    <w:link w:val="FooterChar"/>
    <w:rsid w:val="00D53E28"/>
    <w:pPr>
      <w:tabs>
        <w:tab w:val="center" w:pos="4680"/>
        <w:tab w:val="right" w:pos="9360"/>
      </w:tabs>
    </w:pPr>
  </w:style>
  <w:style w:type="character" w:customStyle="1" w:styleId="FooterChar">
    <w:name w:val="Footer Char"/>
    <w:basedOn w:val="DefaultParagraphFont"/>
    <w:link w:val="Footer"/>
    <w:rsid w:val="00D53E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5341</Words>
  <Characters>31465</Characters>
  <Application>Microsoft Office Word</Application>
  <DocSecurity>0</DocSecurity>
  <Lines>408</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Doak</cp:lastModifiedBy>
  <cp:revision>3</cp:revision>
  <dcterms:created xsi:type="dcterms:W3CDTF">2024-04-04T18:49:00Z</dcterms:created>
  <dcterms:modified xsi:type="dcterms:W3CDTF">2024-04-04T18:50:00Z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47356d53c7b70ce3f46d7881199c71d499661f8762dd3f609baa6480167155f6</vt:lpwstr>
  </property>
</Properties>
</file>