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BFC4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70FAF2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Welcome to the pre-applicant webinar for the Workforce Opportunity for Rural Communities Grant Round 6, a grant initiatives for the Appalachia, Delta, and Northern Border regions. I'm Robert Kight. I serve as Division Chief for Adult Services and Governance in the Office of Workforce Investments in the national office here at the Employment and Training Administration in Washington, D.C.</w:t>
      </w:r>
    </w:p>
    <w:p w14:paraId="662ACC1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Today's objectives will cover a high-level overview of the WORC 6 Initiative. The Department of Labor is excited to offer this webcast in conjunction with other technical assistance sessions developed by our partners, the Appalachian Regional Commission, Delta Regional Authority, and Northern Border Regional Commission.</w:t>
      </w:r>
    </w:p>
    <w:p w14:paraId="12E4A3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a prerecorded webcast for discretionary grant award competition. Due to the nature of the award category, we are prohibited from answering questions at this time. However, we will do our best to provide technical assistance resources throughout the course of the webcast.</w:t>
      </w:r>
    </w:p>
    <w:p w14:paraId="686E30E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will hear from a variety of key stakeholders involved with the WORC 6 Grant Award. I like to introduce the presenters whom you'll be hearing throughout today's webcast. Kinsey Walker Program Analyst, Appalachian Regional Commission. Cheyton Pendley, Program Analyst, the Delta Regional Authority. Richard Grogan, Executive Director, the Northern Border Regional Commission. Willette Brown, Workforce Analyst, the US Department of Labor Employment and Training Administration. Jennifer McEnery, Grants Officer, the US Department of Labor Employment and Training Administration. And Sabrina Guerrier, Grants Management Specialist, US Department of Labor, Employment and Training Administration. Let me say thank you to all of today's presenters.</w:t>
      </w:r>
    </w:p>
    <w:p w14:paraId="6656871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will start today's webcast with a brief presentation of the WORC Initiative 6 partners. Following their presentations, you will hear an overview of the FOA along with information about performance reporting, application requirements, and future pre-applicant technical assistance. But first, let's learn more about our partners, the Appalachian Regional Commission, Delta Regional Authority, and Northern Border Regional Commission.</w:t>
      </w:r>
    </w:p>
    <w:p w14:paraId="2089B5F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Kinsey Walker:</w:t>
      </w:r>
    </w:p>
    <w:p w14:paraId="5E17273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everyone. My name is Kinsey Walker, and I am the ARC program contact for work with the Appalachian Regional Commission. We are a regional economic development agency, and we represent federal, state, and local government partnerships.</w:t>
      </w:r>
    </w:p>
    <w:p w14:paraId="39492C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Appalachia is actually defined as 423 counties across 13 states. We're all the way from southern New York to the northern top of Mississippi. The region's 26.3 million residents live in parts of Alabama, Georgia, Kentucky, Maryland, Mississippi, New York, North Carolina, Ohio, Pennsylvania, South Carolina, Tennessee, Virginia, and all of West Virginia.</w:t>
      </w:r>
    </w:p>
    <w:p w14:paraId="4749501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ARC's investment priorities are building businesses, workforce ecosystems, community infrastructure, regional culture and tourism, and local capacity building in our Appalachian region. All of our priorities are also aligned with our partner NDOL for this WORC Initiative.</w:t>
      </w:r>
    </w:p>
    <w:p w14:paraId="6291D6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Some further information on the Appalachian Regional Commission, state participation is through ARC State program Managers. In addition to our DC staff, we have 13 state program managers, and local participation is at their local development district level, which can vary state to state, so your best point of contact is your ARC state program manager. You can find that information on our website.</w:t>
      </w:r>
    </w:p>
    <w:p w14:paraId="0FD702F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also have a variety of rolling and competitive funding opportunities that we house in ARC in our grant-making space, as well as regional programming, like our Appalachian Leadership Institute, and our communities of practice that happen in the space for STEM education, and entrepreneurship education. </w:t>
      </w:r>
      <w:r>
        <w:rPr>
          <w:rFonts w:ascii="Calibri" w:eastAsia="Calibri" w:hAnsi="Calibri" w:cs="Calibri"/>
          <w:color w:val="000000"/>
          <w:sz w:val="22"/>
        </w:rPr>
        <w:lastRenderedPageBreak/>
        <w:t>You can find these opportunities for grant-making and academies and institutes at the links below. Now I'll transition to my partner in the Delta Regional Authority.</w:t>
      </w:r>
    </w:p>
    <w:p w14:paraId="4698AF8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Cheyton Pendley:</w:t>
      </w:r>
    </w:p>
    <w:p w14:paraId="6A923E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My name is Cheyton Pendley. I am the Delta Workforce Program Analyst here at DRA, and I'm the main contact for the work grants. I also handle our own program, the Delta Regional Authority's Delta Workforce Program.</w:t>
      </w:r>
    </w:p>
    <w:p w14:paraId="076A512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DRA covers eight states along the Mississippi Delta and Alabama black belt regions, and that includes 252 counties and parishes. Our four main investment priorities are transportation, infrastructure, basic public infrastructure, business development with an emphasis on entrepreneurship, and workforce development. Then, there at the bottom is a link to our website.</w:t>
      </w:r>
    </w:p>
    <w:p w14:paraId="14B6FD7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Continuing on, DRA was established by an act of Congress in 2000. We are composed of the governors of the eight Delta states and a federal co-chair who is appointed by the president. Local participation is provided through multi-county local development districts and DRA invests in activities that addresses the four goals identified in the regional development plan. Goal one is to invest in public infrastructure. Goal two is to nurture local workforce ecosystems. Goal three is to promote business growth and entrepreneurship. And goal four is to support community placemaking and capacity building. And with that, I will turn it over to my colleague at the Northern Border Regional Commission.</w:t>
      </w:r>
    </w:p>
    <w:p w14:paraId="4B27551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Rich Grogan:</w:t>
      </w:r>
    </w:p>
    <w:p w14:paraId="3EF915E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the executive director at the Northern Border Regional Commission. We are incredibly excited that organizations in our region are part of the work program, and it also gives us another opportunity to work with our peer commissions, which is always a good thing.</w:t>
      </w:r>
    </w:p>
    <w:p w14:paraId="74CAD7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NBRC, like ARC and DRA, is focused on grant-making in support of community and economic development projects across portions of Maine, New Hampshire, New York, and Vermont. The map on this slide shows NBRC-eligible counties, and you can see the full list of counties on our website nbrc.gov.</w:t>
      </w:r>
    </w:p>
    <w:p w14:paraId="24ACB3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Workforce development is a critical issue in our region, as it is everywhere in our country right now. I won't spend my time here rehashing the reasons for that, but suffice to say that we are thrilled that the WORC program offers applicants in our region yet another opportunity to seek funding for projects that embody the creativity of the people in our region.</w:t>
      </w:r>
    </w:p>
    <w:p w14:paraId="107043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NBRC states have a rich industrial history that includes precision manufacturing, forest products, fishing, and agriculture. And the transitions in these industries, including pressures placed on them by global issues like climate change, are also stressing our workforce. And as we all know, workforce is really us, our friends, family, and neighbors. The NBRC funds workforce development projects through all of our grant programs and stakeholders in our region have been excited at the prospect of another opportunity through the Department of Labor work.</w:t>
      </w:r>
    </w:p>
    <w:p w14:paraId="3DD83A7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WORC 5 was the NBRC's first time participating in this program, and we saw some incredibly creative applications. I'll end by saying that we're looking forward to seeing what types of creative projects emerge from WORC 6.</w:t>
      </w:r>
    </w:p>
    <w:p w14:paraId="2B48B19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1ED1C2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Kinsey, Cheyton, and Rich. Let's continue with the funding opportunity announcement overview to discuss WORC initiative, eligibility, and grant activities. Willette Brown, workforce analyst for our program office, will provide insight of the WORC 6 initiative. Willette?</w:t>
      </w:r>
    </w:p>
    <w:p w14:paraId="700F330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Willette Brown:</w:t>
      </w:r>
    </w:p>
    <w:p w14:paraId="1225BB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Robert. The WORC Initiative is a partnership amongst ETA, ARC, DRC, and NBRC. This grant program provides funds to enable impacted communities to develop local and regional workforce development solutions that align with existing economic development strategies.</w:t>
      </w:r>
    </w:p>
    <w:p w14:paraId="4CA3B30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Community partnerships are essential components of this program. These working relationships promote new sustainable job opportunities that drive long-term economic vitality. The Appalachian region, the Lower Mississippi Delta region, and the Northern Border region have been particularly hit hard by economic transition. Recovery efforts are slow and need additional support.</w:t>
      </w:r>
    </w:p>
    <w:p w14:paraId="3F179C1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WORC grants aim to create economic mobility, address historic inequalities for marginalized communities of color, rural areas, and other underserved and underrepresented communities. The program aims to produce high-quality employment outcomes for individuals who live or work in the Appalachian, Delta, and Northern Border region, enabling them to remain and thrive in these communities. WORC 6 grant applications must address the goals of the program and clearly demonstrate how proposed projects will align with workforce and economic development strategies. This approach applies to both short-term positive outcomes and long-term economic success for residents, businesses, and communities in the geographic areas in which applicants plan to serve.</w:t>
      </w:r>
    </w:p>
    <w:p w14:paraId="07CBC69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Successful applications will propose projects that demonstrate clear and consistent strategies, activities, partnerships, and results built around three major focus areas, which include, one, increasing access to good jobs, two, prioritizing equity, and three, sustaining impact. Let's take a moment to break down each focus area.</w:t>
      </w:r>
    </w:p>
    <w:p w14:paraId="2F8E7D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first focus area is access to good jobs. Round six of this grant program emphasizes the need to increase access to high-quality family-sustaining jobs within the Appalachian, Delta, and Northern Border region. To meet this goal, applicants must outline strategies connecting workers with training or jobs paying $15 per hour or more, while also addressing other good job principles.</w:t>
      </w:r>
    </w:p>
    <w:p w14:paraId="086F828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conjunction with the Department of Commerce, the Department of Labor developed the Good Jobs principles, which serve as a framework to better define a good job. Applicants are encouraged to align projects with the eight Good Job principles, which include recruitment and hiring, benefits, diversity, equity, inclusion, and accessibility, or DEIA, empowerment and representation, job security and working conditions, organizational culture, skills and career advancement, and last but not least, pay.</w:t>
      </w:r>
    </w:p>
    <w:p w14:paraId="38EEBE5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Consistent with the Good Job principles addressing pay, this funding opportunity requires applicants to connect and prepare workers for job opportunities paying at least $15 per hour for reasons described in Appendix C of the WORC 6 FOA.</w:t>
      </w:r>
    </w:p>
    <w:p w14:paraId="3A091F3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Focus area two addresses equity. Prioritizing equity ensures historically marginalized individuals can access and succeed in employment and training activities leading to a good job. To address equity, applicants must outline strategies to recruit and enroll underserved workers and prioritize those affected by poverty, discrimination, and inequality. WORC 6 Funding prioritizes efforts to recruit and improve the lives of historically underserved workers adversely affected by persistent poverty, discrimination, or inequality experienced by, but not limited to, Black, indigenous, or people of color, LGBTQ+ individuals, women, veterans, individuals with disabilities, individuals without a college degree, individuals with substance use disorder, and/or justice-involved individuals.</w:t>
      </w:r>
    </w:p>
    <w:p w14:paraId="0B006F3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third and final focus area addresses impact. Focus area three prioritizes sustaining impact, which emphasizes the long-term benefits of grants beyond their duration. Applicants must outline strategies to sustain the positive impacts of their projects on workers, businesses, and communities in the work regions. This includes describing specific realistic strategies and activities to ensure lasting positive effects in the grant area. Successful applicants will submit a proposed project that demonstrates a </w:t>
      </w:r>
      <w:r>
        <w:rPr>
          <w:rFonts w:ascii="Calibri" w:eastAsia="Calibri" w:hAnsi="Calibri" w:cs="Calibri"/>
          <w:color w:val="000000"/>
          <w:sz w:val="22"/>
        </w:rPr>
        <w:lastRenderedPageBreak/>
        <w:t>thorough understanding of program goals and strategies that speak clearly and comprehensively to each focus area. Applicants can find all three focus areas explained in section 1A of the FOA.</w:t>
      </w:r>
    </w:p>
    <w:p w14:paraId="2AB7FE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There's a wide range of entities eligible to apply, so pay close attention to the FOA, as it lists all eligible entities. Because this is a competitive grant program, we cannot make determinations as to whether your organization is eligible prior to applying. If you believe your application is eligible, we encourage you to apply. Determinations will occur after the closing date.</w:t>
      </w:r>
    </w:p>
    <w:p w14:paraId="6FB9CC6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is also important to note that your organization may operate anywhere in the United States. However, applicants must offer all services to eligible participants residing and/or working in the Appalachian, Delta, or the Northern Border region. Your application must clearly demonstrate a commitment to this requirement.</w:t>
      </w:r>
    </w:p>
    <w:p w14:paraId="45E3CD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WORC 6 speaks to the employment, career, and educational needs of the following eligible participants, the first group of eligible participants include dislocated workers as defined in WIOA section 3(15). The second group of eligible applicants include incumbent workers, which refer to individuals who are employed but may need a boost in training or work services to secure full-time employment or advance in their career or retain current employment. The third group of eligible applicants include new entrants to the workforce. The FOA leaves the specific definition of this term to the applicant, but generally refers to individuals who have never worked before or may have a history of extended employment gaps. This category may include high school students or college students, individuals requiring basic adult education training, individuals living with disabilities, veterans, individuals with limited English proficiency, or just a neighbor who may find themselves struggling to find work because of their previous incarceration. This category may also include individuals with a history of substance dependency or other behavioral health conditions.</w:t>
      </w:r>
    </w:p>
    <w:p w14:paraId="4F57727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WORC 6 offers flexibility and promotes innovative solutions to specific workforce or employment challenges faced by rural communities by supporting grant activities within the following categories, delivering training or other workforce-related services, providing a wide range of supportive services to participants, serving and partnering with employers, strategic planning for economic transformation, and lastly, equipment purchases and facility renovations.</w:t>
      </w:r>
    </w:p>
    <w:p w14:paraId="68CE43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time limitations prevent us from taking a really deep dive into all allowable activities. However, potential applicants are encouraged to review pages 11 through 15 of the WORC 6 FOA for more details. Additionally, the WORC 6 FOA also provides more context surrounding the activities previously noted.</w:t>
      </w:r>
    </w:p>
    <w:p w14:paraId="4BF2EA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WORC grants allow for a variety of activities to support the initiative's goals, including training and employment-related activities, supportive services for grant participants, employer services, strategic planning activities, and purchasing equipment or making renovations. These activities aim to help residents of the WORC regions access and retain good jobs.</w:t>
      </w:r>
    </w:p>
    <w:p w14:paraId="411898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can propose strategies such as workforce training, career planning, supportive services like transportation or counseling, and employer services to improve job quality and competitiveness. Additionally, strategic planning activities can help align community efforts and identify resources for sustainable impacts. The WORC FOA provides more details, as well as restrictions and limitations, related to allowable activities.</w:t>
      </w:r>
    </w:p>
    <w:p w14:paraId="6792560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 applicant must include the following three types of partner entities, at least two employer industry representatives, at least one state or local workforce development board, American Job Center operator partner program, training provider, or similar entity, or at least one community-based organization. Now I'd like to toss things back over to Robert.</w:t>
      </w:r>
    </w:p>
    <w:p w14:paraId="73FC25E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2B4738C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Okay. We will now briefly provide an overview of the performance reporting requirements that apply to the WORC program. Willette?</w:t>
      </w:r>
    </w:p>
    <w:p w14:paraId="665A221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Willette Brown:</w:t>
      </w:r>
    </w:p>
    <w:p w14:paraId="2ADB2A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 proposals must indicate the specific results that the project will aim to achieve. The application must demonstrate how these results are reflective of the overall goals and strategy of the project. The FOA includes an appendix that provides examples of the kinds of results that an applicant might aim to achieve throughout this grant.</w:t>
      </w:r>
    </w:p>
    <w:p w14:paraId="34F259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While your application must describe the kinds of outcomes and results that your project expects to achieve, we want to provide some preliminary budget and performance information in the case that your organization successfully secures an award.</w:t>
      </w:r>
    </w:p>
    <w:p w14:paraId="506D315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ETA-funded grants are responsible for capturing and reporting specific indicators of performance for enrolled grant participants as established in the Workforce Innovation and Opportunity Act, or WIOA, which is the funding source for WORC 6. Upon receipt of the award, grantees must establish an account to use ETA's workforce Integrated Performance Systems, also known as WIPS.</w:t>
      </w:r>
    </w:p>
    <w:p w14:paraId="080BE0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 are two reports for performance each quarter, a quarterly performance report, or QPR, and a quarterly narrative report, or QNR. Reporting on participants requires grantees to collect prescribed data elements for each participant in the grant. This information is then submitted to WIPS in a specific file format. Participants' information, like demographics, as well as services provided under these grants, are examples of data collected. Applicants are encouraged to preview the participant data file tool for demonstration grants, also called the Demo PDFT. Applicants are encouraged to become familiar with the types and amounts of participant data grantees are expected to collect and report to ETA each quarter. This technical assistance tool illustrates the data elements and formatting requirements for successful QPR submission.</w:t>
      </w:r>
    </w:p>
    <w:p w14:paraId="4A9F4B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Given the data collection needed, grantees need to plan a way to store and organize participant information. Options for doing this includes using a variety of tools. For instance, grantees may use a management information system or case management system that may already be in use by the organization. If you go with this option, existing systems will need to be modified for reporting these grants.</w:t>
      </w:r>
    </w:p>
    <w:p w14:paraId="5C0F4D5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Grantees may also use a spreadsheet or database or some other type of software solution, or grantees may choose to use a third party vendor to provide this service. There is a lot of information to collect, so grant recipients need to prepare to set up a thorough data collection system.</w:t>
      </w:r>
    </w:p>
    <w:p w14:paraId="5217336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Grantees should also budget for the resources needed to fulfill the performance reporting requirements, including having the appropriate staffing and technological capacity. Think about your organizational needs and make sure those needs are reflected in your grant proposal. At this time, I'd like to toss things back over to Robert.</w:t>
      </w:r>
    </w:p>
    <w:p w14:paraId="5F1D1CF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7AEC07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Willette. To present the last portion of WORC, I would like to welcome Jennifer McEnery and Sabrina Guerrier of the Office of Grants Management to present on the application requirements, details, and deadlines. Jennifer?</w:t>
      </w:r>
    </w:p>
    <w:p w14:paraId="4BE6553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Jenifer McEnery:</w:t>
      </w:r>
    </w:p>
    <w:p w14:paraId="5E60E1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Robert. We are going to discuss the application requirements, which will include details and deadlines to pay attention to as you prepare your proposal. Throughout communication with our office </w:t>
      </w:r>
      <w:r>
        <w:rPr>
          <w:rFonts w:ascii="Calibri" w:eastAsia="Calibri" w:hAnsi="Calibri" w:cs="Calibri"/>
          <w:color w:val="000000"/>
          <w:sz w:val="22"/>
        </w:rPr>
        <w:lastRenderedPageBreak/>
        <w:t>or throughout our presentation, you will hear us reference the word FOA. FOA stands for funding opportunity announcement. The major takeaway for this presentation, if there is anything that you must leave with, is to ensure you read the FOA carefully. Read it from the beginning to the end, as it contains key information that will drive your application and many times the answers to questions that you may have about the FOA's content.</w:t>
      </w:r>
    </w:p>
    <w:p w14:paraId="45AE10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slide provides the links where you can access the FOA posting. Please note that the contact information for grants.gov is provided at the bottom of this slide. All questions regarding how to submit applications through grants.gov, as well as problems encountered when trying to submit, must be sent directly to grants.gov.</w:t>
      </w:r>
    </w:p>
    <w:p w14:paraId="41C70C9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Applications submitted in response to this FOA must consist of four separate and distinct parts, the SF-424, which is your official application for federal assistance, the project budget, which is comprised of the SF-424A, budget information form, and a budget narrative, the project narrative, and finally attachments to the project narrative.</w:t>
      </w:r>
    </w:p>
    <w:p w14:paraId="0C3AFCB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Sections IV.B.1 and IV.B.2 provide extensive information about the following documents. The SF-424, as mentioned, is your official application for federal assistance. The FOA provides instructions for how to complete the SF-424 sections. Only applicants that have an active registration with the system for award management, SAM, will be considered for funding. You must complete your SAM registration prior to submitting your application and maintain an active registration with current accurate information while your application is under consideration and, if selected, while the award is active.</w:t>
      </w:r>
    </w:p>
    <w:p w14:paraId="4DFC9AC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the SF-424, you will write in your organization's employer identification number, EIN, and unique entity identification, UEI, number on the first page as it is reflected on your sam.gov profile. The information recorded on the SF-424, including your organization's name, organization's address, must precisely match the information provided on sam.gov. If you are unsure of the EIN or UEI of your organization, visit www.sam.gov to confirm.</w:t>
      </w:r>
    </w:p>
    <w:p w14:paraId="6ECA3F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line 15 of the SF-424, you will record two notes. The first is the regional designation. This designation identifies the region, either the Appalachian, Delta, or Northern Border region, which the proposed project aligns. If the project's area covers counties, parishes, or communities located within more than one of these regional areas, the applicant must just select one region.</w:t>
      </w:r>
    </w:p>
    <w:p w14:paraId="5FE753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second note will be the fiscal agent information. As the applicant, you must clearly identify the fiscal agent on line 15 or in a supporting document attachment to line 15 and include the fiscal agent's UEI, EIN, PMS, EIN for managing funds, name, address, type of organization, and contact information for vetting. The SF-424 must clearly identify the applicant and must be signed by an individual with authority to enter into a grant agreement.</w:t>
      </w:r>
    </w:p>
    <w:p w14:paraId="4889BC2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Upon confirmation of an award, the individual signing the SF-424 on behalf of the applicant is considered the authorized representative of the applicant and is the only individual that may request information regarding the application. As stated in block 21 of the SF-424 form, the signature of the authorized representative on the SF-424 certifies that the organization is in compliance with the assurances and certifications form SF-424B available at grants.gov.</w:t>
      </w:r>
    </w:p>
    <w:p w14:paraId="6704D1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do not need to submit the S- 424B with the application. The project is comprised of the SF-424A budget information form and budget narrative. The SF-424A form is located on grants.gov and is hyperlinked in the FOA. The budget narrative describes your proposed costs associated with each line item on the SF-424A. The total cost... or the total of each cost category must add up to the entire grant amount, and each category should include the total estimated cost for the period of performance, which for this grant is 36 months, or three years.</w:t>
      </w:r>
    </w:p>
    <w:p w14:paraId="3EDB97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Please pay attention to the specific details needed for each cost category as required in the FOA. The budget narrative must provide a description of costs associated with each line item on the SF-424A. The total of each cost category must add up to the entire grant amount. Provide clear and specific detail, including costs, for each item so that we are able to determine whether the costs are necessary, reasonable, and allocable to the project described in the project narrative.</w:t>
      </w:r>
    </w:p>
    <w:p w14:paraId="095C80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a reminder, as an applicant, you must list the same requested federal grant amount on the SF-424, SF-424A, and budget narrative. If inconsistencies are found between the budget amounts specified on the SF-424, SF-424A, and the budget narrative, we will consider the SF-424 as the official funding amount requested.</w:t>
      </w:r>
    </w:p>
    <w:p w14:paraId="3CAFED3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narrative demonstrates your capability to implement the grant project in accordance with the provisions of this announcement. It provides a comprehensive framework and description of all aspects of the proposed project. It must be succinct, self-explanatory, and well organized so that reviewers can understand the proposed project.</w:t>
      </w:r>
    </w:p>
    <w:p w14:paraId="442D118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narrative is limited to 20 double-spaced, single-sided, 8.5 x 11 inch pages with Times New Roman 12-point text font and one-inch margins. You must number the project narrative beginning with page number one and use the same section headers identified in the FOA for each section of the project narrative.</w:t>
      </w:r>
    </w:p>
    <w:p w14:paraId="1006561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FOA provides all the information needed to complete the project narrative. Carefully read and consider each section and include all required information in your project. In addition to the project narrative, you submit. You must clearly label all attachments. The attachments listed in section IV.B.4 of the FOA are excluded from the page limit requirements for the budget narrative. The budget and budget narrative also do not count against the page limit requirements for the project narrative. You must not include additional materials beyond those requested or required in the FOA, as they will not be considered. Please reference section IV.B.4 for information on valid attachment file names.</w:t>
      </w:r>
    </w:p>
    <w:p w14:paraId="5E2269D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application screening criteria checklist is a guide we urge you to use when preparing your application package to ensure that the application has met all of the screening criteria. The checklist contains all required items. If your application does not meet all the screening criteria as specified in this section, it will be considered non-responsive and will not move forward through the merit review process. For example, if you submit an SF-424 that includes applicant information that does not match the SAM registration associated with the UEI provided, your application will be considered non-responsive. Additionally, if you do not include a designation as required in this section, your application will be considered non-responsive. Note that the checklist is only an aid for applicants and should not be included in the application package. Over to you, Sabrina.</w:t>
      </w:r>
    </w:p>
    <w:p w14:paraId="6943CFC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Sabrina Guerrier:</w:t>
      </w:r>
    </w:p>
    <w:p w14:paraId="6987AB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Jennifer. Continuing on with the application screening criteria, please note that we'll consider only one application from each organization. If we receive multiple applications from the same organization, we will consider only the most recently received application that met the deadline. If the most recent application is disqualify for any reason, we will not replace it with an earlier application.</w:t>
      </w:r>
    </w:p>
    <w:p w14:paraId="14D52B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 instituted procedures for assessing the technical merit of applications to provide for an objective review and to assist you in understanding the standards against which your application will be judged. Applications meeting, all of the application screening criteria move forward to the merit review process for further application review. A technical merit review panel will carefully evaluate applications against the selection criteria outside outlined on this slide to determine the merit applications. These criteria are based on the policy goals, priorities, and emphases set forth in this FOA.</w:t>
      </w:r>
    </w:p>
    <w:p w14:paraId="50FF7BF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The evaluation criteria are based on the information required in the application as described in sections IV.B.2, project budget, and IV.B.3, project narrative. Application reviewers will award points based on the evaluation criteria described on this slide. Section IV.B.3, project narrative, of this FOA has several section headers, for example IV.B.3.a, statement of need. Each of these section headers of the project narrative may include one or more criterion, and each criterion includes one or more rating factors, which provide detailed specifications for the content and quality of the response to that criterion.</w:t>
      </w:r>
    </w:p>
    <w:p w14:paraId="7443C1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Each of the rating factors have specific point values assigned. These point values are the number of points possible for the application to earn for that rating factor. Reviewers will rate each rating factor based on how fully and convincingly the applicant responds for each rating factor under each criterion, reviewers will determine whether the applicant thoroughly meets, partially meets, or fails to meet the rating factor unless otherwise noted in section IV.B.3 based on the definitions on this slide.</w:t>
      </w:r>
    </w:p>
    <w:p w14:paraId="6650B42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receive the maximum points for each rating factor, applicants must provide a response to the requirement that fully describes the proposed program design and demonstrates the quality of approach rather than simply restating a commitment to perform prescribed activities. In other words, applicants must describe why the proposal is the best strategy and how they will implement it rather than the strategy contains elements that conform to the requirements of this FOA.</w:t>
      </w:r>
    </w:p>
    <w:p w14:paraId="411D411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mentioned earlier, a technical merit review panel will carefully evaluate applications against the selection criteria to determine the merit of applications. These criteria are based on the policy goals, priorities, and emphases set forth in this FOA. Up to 100 points may be awarded to an applicant depending on the quality of the responses provided.</w:t>
      </w:r>
    </w:p>
    <w:p w14:paraId="1A58182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Prior to making an award, ETA will review information available through various sources, included its own records and any OMB-designated repository of government-wide eligibility qualification or financial integrity information, such as Federal Award Performance and Integrity Information System, FAPIIS, and sam.gov. Additionally, ETA will comply with the requirements of 2 CFR Part 180 codified at 2 CFR Part 2998, Non-procurement Debarment and Suspension.</w:t>
      </w:r>
    </w:p>
    <w:p w14:paraId="40A289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must submit your application electronically on www.grants.gov no later than 11:59 PM Eastern Time on the closing date, which is June 20, 2024. Reference FOA-ETA-24-08 when searching the grant on the website. As an applicant, you are encouraged to submit your application before the closing date to minimize the risk of late receipt. We will not review applications received after 11:59 PM Eastern Time on the closing date. We will also not accept applications sent by hard copy, email, telegram, or fax.</w:t>
      </w:r>
    </w:p>
    <w:p w14:paraId="3693E31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at any time you are having difficulties accessing or submitting your application on grants.gov, the FOA and this slide provide contact information for their customer service help desk. If you encounter a problem with grants.gov and do not find an answer in any of the other resources, contact one of the following. Call 1-800-518-4726 or (606) 545-5035 to speak to a customer support representative or email support@grants.gov. The grants.gov contact center is open 24 hours a day, seven days a week, but closed on federal holidays. If you are experiencing difficulties with your submission, it is best to call the grants.gov support center and get a ticket number.</w:t>
      </w:r>
    </w:p>
    <w:p w14:paraId="627B7D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technical questions about the content information in the FOA, please contact us, the Office of Grants Management, OGM, at the following email address, dol-eta-dwg@dol.gov. In your email to OGM, reference this FOA, FOA-ETA-24-08.</w:t>
      </w:r>
    </w:p>
    <w:p w14:paraId="36851F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ARC, DRA, and NBRC are available to provide additional pre-application technical assistance resources, and may be offering pre-application workshops. For more information and to register for a workshop if offered, please visit the applicable website found on this slide based on your selected region.</w:t>
      </w:r>
    </w:p>
    <w:p w14:paraId="2C11370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more information of possible FAQs, you can check the website noted on this slide. As mentioned, for general or technical questions about the FOA, please email the Office of Grants Management at the US </w:t>
      </w:r>
      <w:r>
        <w:rPr>
          <w:rFonts w:ascii="Calibri" w:eastAsia="Calibri" w:hAnsi="Calibri" w:cs="Calibri"/>
          <w:color w:val="000000"/>
          <w:sz w:val="22"/>
        </w:rPr>
        <w:lastRenderedPageBreak/>
        <w:t>Department of Labor at dol-eta-dwg@dol.gov. Thank you for listening to our presentation on application requirements. Over to you, Robert.</w:t>
      </w:r>
    </w:p>
    <w:p w14:paraId="2B791E9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Robert Kight:</w:t>
      </w:r>
    </w:p>
    <w:p w14:paraId="6097B4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Sabrina. This concludes the WORC 6 Initiative webcast. On behalf of the Employment and Training Administration, good luck on your application. I would like to thank our partners, my colleagues, and you for logging in. Also, thank you to the WorkforceGPS support team and ETA staff. Have a great and wonderful day.</w:t>
      </w:r>
    </w:p>
    <w:p w14:paraId="36F8CD7E"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129A3" w14:textId="77777777" w:rsidR="0075239C" w:rsidRDefault="0075239C">
      <w:r>
        <w:separator/>
      </w:r>
    </w:p>
  </w:endnote>
  <w:endnote w:type="continuationSeparator" w:id="0">
    <w:p w14:paraId="18986959" w14:textId="77777777" w:rsidR="0075239C" w:rsidRDefault="00752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
      <w:gridCol w:w="7383"/>
      <w:gridCol w:w="1765"/>
      <w:gridCol w:w="107"/>
    </w:tblGrid>
    <w:tr w:rsidR="004D33F9" w14:paraId="10C4C1F1" w14:textId="77777777" w:rsidTr="004D33F9">
      <w:trPr>
        <w:gridBefore w:val="1"/>
        <w:gridAfter w:val="1"/>
        <w:wBefore w:w="56" w:type="pct"/>
        <w:wAfter w:w="56" w:type="pct"/>
      </w:trPr>
      <w:tc>
        <w:tcPr>
          <w:tcW w:w="4887" w:type="pct"/>
          <w:gridSpan w:val="2"/>
          <w:tcBorders>
            <w:top w:val="nil"/>
            <w:left w:val="nil"/>
            <w:bottom w:val="nil"/>
            <w:right w:val="nil"/>
          </w:tcBorders>
          <w:noWrap/>
        </w:tcPr>
        <w:p w14:paraId="7CA994F7" w14:textId="77777777" w:rsidR="004D33F9" w:rsidRDefault="004D33F9" w:rsidP="004D33F9">
          <w:pPr>
            <w:rPr>
              <w:color w:val="000000"/>
            </w:rPr>
          </w:pPr>
          <w:r w:rsidRPr="004D33F9">
            <w:rPr>
              <w:color w:val="000000"/>
            </w:rPr>
            <w:t>Workforce Opportunity for Rural Communities (WORC) Initiative Round 6​</w:t>
          </w:r>
        </w:p>
      </w:tc>
    </w:tr>
    <w:tr w:rsidR="00DA128A" w14:paraId="5DCE2406" w14:textId="77777777">
      <w:tc>
        <w:tcPr>
          <w:tcW w:w="4000" w:type="pct"/>
          <w:gridSpan w:val="2"/>
          <w:tcBorders>
            <w:top w:val="nil"/>
            <w:left w:val="nil"/>
            <w:bottom w:val="nil"/>
            <w:right w:val="nil"/>
          </w:tcBorders>
          <w:noWrap/>
        </w:tcPr>
        <w:p w14:paraId="3EC627D8" w14:textId="5F4BDEA7" w:rsidR="00DA128A" w:rsidRDefault="00DA128A"/>
      </w:tc>
      <w:tc>
        <w:tcPr>
          <w:tcW w:w="1000" w:type="pct"/>
          <w:gridSpan w:val="2"/>
          <w:tcBorders>
            <w:top w:val="nil"/>
            <w:left w:val="nil"/>
            <w:bottom w:val="nil"/>
            <w:right w:val="nil"/>
          </w:tcBorders>
          <w:noWrap/>
        </w:tcPr>
        <w:p w14:paraId="52F3609C" w14:textId="77777777" w:rsidR="00DA128A" w:rsidRDefault="00000000">
          <w:pPr>
            <w:jc w:val="right"/>
          </w:pPr>
          <w:r>
            <w:t xml:space="preserve">Page </w:t>
          </w:r>
          <w:r>
            <w:fldChar w:fldCharType="begin"/>
          </w:r>
          <w:r>
            <w:instrText>PAGE</w:instrText>
          </w:r>
          <w:r>
            <w:fldChar w:fldCharType="separate"/>
          </w:r>
          <w:r w:rsidR="004D33F9">
            <w:rPr>
              <w:noProof/>
            </w:rPr>
            <w:t>1</w:t>
          </w:r>
          <w:r>
            <w:fldChar w:fldCharType="end"/>
          </w:r>
          <w:r>
            <w:t xml:space="preserve"> of </w:t>
          </w:r>
          <w:r>
            <w:fldChar w:fldCharType="begin"/>
          </w:r>
          <w:r>
            <w:instrText>NUMPAGES</w:instrText>
          </w:r>
          <w:r>
            <w:fldChar w:fldCharType="separate"/>
          </w:r>
          <w:r w:rsidR="004D33F9">
            <w:rPr>
              <w:noProof/>
            </w:rPr>
            <w:t>2</w:t>
          </w:r>
          <w:r>
            <w:fldChar w:fldCharType="end"/>
          </w:r>
        </w:p>
      </w:tc>
    </w:tr>
  </w:tbl>
  <w:p w14:paraId="4848F4D6" w14:textId="77777777" w:rsidR="00DA128A" w:rsidRDefault="00DA12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BDC24" w14:textId="77777777" w:rsidR="0075239C" w:rsidRDefault="0075239C">
      <w:r>
        <w:separator/>
      </w:r>
    </w:p>
  </w:footnote>
  <w:footnote w:type="continuationSeparator" w:id="0">
    <w:p w14:paraId="1A677585" w14:textId="77777777" w:rsidR="0075239C" w:rsidRDefault="00752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A128A" w14:paraId="30B9BC36" w14:textId="77777777">
      <w:tc>
        <w:tcPr>
          <w:tcW w:w="5000" w:type="pct"/>
          <w:tcBorders>
            <w:top w:val="nil"/>
            <w:left w:val="nil"/>
            <w:bottom w:val="nil"/>
            <w:right w:val="nil"/>
          </w:tcBorders>
          <w:noWrap/>
        </w:tcPr>
        <w:p w14:paraId="5B38E518" w14:textId="37F6C675" w:rsidR="00DA128A" w:rsidRDefault="004D33F9">
          <w:pPr>
            <w:rPr>
              <w:color w:val="000000"/>
            </w:rPr>
          </w:pPr>
          <w:r w:rsidRPr="004D33F9">
            <w:rPr>
              <w:color w:val="000000"/>
            </w:rPr>
            <w:t>Workforce Opportunity for Rural Communities (WORC) Initiative Round 6​</w:t>
          </w:r>
        </w:p>
      </w:tc>
    </w:tr>
  </w:tbl>
  <w:p w14:paraId="60762C12" w14:textId="77777777" w:rsidR="00DA128A" w:rsidRDefault="00DA12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4D33F9"/>
    <w:rsid w:val="0075239C"/>
    <w:rsid w:val="00A77B3E"/>
    <w:rsid w:val="00CA2A55"/>
    <w:rsid w:val="00DA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862A9"/>
  <w15:docId w15:val="{1A84E4CA-EBA1-4362-8EF2-B1E114D3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3F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D33F9"/>
    <w:pPr>
      <w:tabs>
        <w:tab w:val="center" w:pos="4680"/>
        <w:tab w:val="right" w:pos="9360"/>
      </w:tabs>
    </w:pPr>
  </w:style>
  <w:style w:type="character" w:customStyle="1" w:styleId="HeaderChar">
    <w:name w:val="Header Char"/>
    <w:basedOn w:val="DefaultParagraphFont"/>
    <w:link w:val="Header"/>
    <w:rsid w:val="004D33F9"/>
    <w:rPr>
      <w:sz w:val="24"/>
      <w:szCs w:val="24"/>
    </w:rPr>
  </w:style>
  <w:style w:type="paragraph" w:styleId="Footer">
    <w:name w:val="footer"/>
    <w:basedOn w:val="Normal"/>
    <w:link w:val="FooterChar"/>
    <w:rsid w:val="004D33F9"/>
    <w:pPr>
      <w:tabs>
        <w:tab w:val="center" w:pos="4680"/>
        <w:tab w:val="right" w:pos="9360"/>
      </w:tabs>
    </w:pPr>
  </w:style>
  <w:style w:type="character" w:customStyle="1" w:styleId="FooterChar">
    <w:name w:val="Footer Char"/>
    <w:basedOn w:val="DefaultParagraphFont"/>
    <w:link w:val="Footer"/>
    <w:rsid w:val="004D33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4812</Words>
  <Characters>26999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Doak</dc:creator>
  <cp:lastModifiedBy>Samantha Doak</cp:lastModifiedBy>
  <cp:revision>2</cp:revision>
  <dcterms:created xsi:type="dcterms:W3CDTF">2024-06-04T19:42:00Z</dcterms:created>
  <dcterms:modified xsi:type="dcterms:W3CDTF">2024-06-04T19:42:00Z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bc8cb3564980e58e8f830c62b3db89d8d5cc981114d31f3fce86c83690775fc1</vt:lpwstr>
  </property>
</Properties>
</file>