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78E63" w14:textId="5936A0B0" w:rsidR="007E0707" w:rsidRPr="00A35884" w:rsidRDefault="00A35884" w:rsidP="007B0815">
      <w:pPr>
        <w:pStyle w:val="Heading1"/>
        <w:spacing w:before="0"/>
        <w:rPr>
          <w:b/>
          <w:bCs/>
          <w:sz w:val="72"/>
          <w:szCs w:val="72"/>
        </w:rPr>
      </w:pPr>
      <w:r w:rsidRPr="00A35884">
        <w:rPr>
          <w:b/>
          <w:bCs/>
          <w:sz w:val="72"/>
          <w:szCs w:val="72"/>
        </w:rPr>
        <w:t xml:space="preserve">Finishing Strong: The Essential </w:t>
      </w:r>
      <w:r w:rsidR="00731EA2">
        <w:rPr>
          <w:b/>
          <w:bCs/>
          <w:sz w:val="72"/>
          <w:szCs w:val="72"/>
        </w:rPr>
        <w:t xml:space="preserve">Resource </w:t>
      </w:r>
      <w:r w:rsidRPr="00A35884">
        <w:rPr>
          <w:b/>
          <w:bCs/>
          <w:sz w:val="72"/>
          <w:szCs w:val="72"/>
        </w:rPr>
        <w:t xml:space="preserve">Guide to </w:t>
      </w:r>
      <w:r w:rsidR="07C60DB8" w:rsidRPr="00A35884">
        <w:rPr>
          <w:b/>
          <w:bCs/>
          <w:sz w:val="72"/>
          <w:szCs w:val="72"/>
        </w:rPr>
        <w:t>Wrap-Up and Closeout</w:t>
      </w:r>
    </w:p>
    <w:p w14:paraId="4311C448" w14:textId="0E1EA49E" w:rsidR="07C60DB8" w:rsidRDefault="07C60DB8" w:rsidP="13616FE9">
      <w:pPr>
        <w:rPr>
          <w:color w:val="000000" w:themeColor="text1"/>
        </w:rPr>
      </w:pPr>
      <w:r w:rsidRPr="07C60DB8">
        <w:rPr>
          <w:color w:val="000000" w:themeColor="text1"/>
        </w:rPr>
        <w:t xml:space="preserve">As </w:t>
      </w:r>
      <w:r w:rsidR="00FF3C51">
        <w:rPr>
          <w:color w:val="000000" w:themeColor="text1"/>
        </w:rPr>
        <w:t>Scaling Apprenticeship (SA)</w:t>
      </w:r>
      <w:r w:rsidRPr="07C60DB8">
        <w:rPr>
          <w:color w:val="000000" w:themeColor="text1"/>
        </w:rPr>
        <w:t xml:space="preserve"> grantees plan for the conclusion of their grant’s period of performance, it is essential to understand the key wrap-up and closeout activities </w:t>
      </w:r>
      <w:r w:rsidR="00C26F56">
        <w:rPr>
          <w:color w:val="000000" w:themeColor="text1"/>
        </w:rPr>
        <w:t>they must</w:t>
      </w:r>
      <w:r w:rsidRPr="07C60DB8">
        <w:rPr>
          <w:color w:val="000000" w:themeColor="text1"/>
        </w:rPr>
        <w:t xml:space="preserve"> complete. </w:t>
      </w:r>
      <w:r w:rsidR="002E2B84">
        <w:rPr>
          <w:color w:val="000000" w:themeColor="text1"/>
        </w:rPr>
        <w:t>Manhattan Strategy Group (MSG)</w:t>
      </w:r>
      <w:r w:rsidR="0069194A" w:rsidRPr="0069194A">
        <w:rPr>
          <w:color w:val="000000" w:themeColor="text1"/>
        </w:rPr>
        <w:t xml:space="preserve"> ha</w:t>
      </w:r>
      <w:r w:rsidR="002E2B84">
        <w:rPr>
          <w:color w:val="000000" w:themeColor="text1"/>
        </w:rPr>
        <w:t>s</w:t>
      </w:r>
      <w:r w:rsidR="0069194A" w:rsidRPr="0069194A">
        <w:rPr>
          <w:color w:val="000000" w:themeColor="text1"/>
        </w:rPr>
        <w:t xml:space="preserve"> gathered several essential resources for both the wrap-up and closeout stages.</w:t>
      </w:r>
    </w:p>
    <w:p w14:paraId="07F0F56F" w14:textId="26D245E1" w:rsidR="00C453C9" w:rsidRDefault="00C453C9" w:rsidP="13616FE9">
      <w:pPr>
        <w:rPr>
          <w:color w:val="000000" w:themeColor="text1"/>
        </w:rPr>
      </w:pPr>
      <w:r>
        <w:rPr>
          <w:color w:val="000000" w:themeColor="text1"/>
        </w:rPr>
        <w:t>This document</w:t>
      </w:r>
      <w:r w:rsidR="001F710B">
        <w:rPr>
          <w:color w:val="000000" w:themeColor="text1"/>
        </w:rPr>
        <w:t>, including</w:t>
      </w:r>
      <w:r w:rsidR="00C92F3D">
        <w:rPr>
          <w:color w:val="000000" w:themeColor="text1"/>
        </w:rPr>
        <w:t xml:space="preserve"> the resources it contains</w:t>
      </w:r>
      <w:r w:rsidR="001F710B">
        <w:rPr>
          <w:color w:val="000000" w:themeColor="text1"/>
        </w:rPr>
        <w:t>,</w:t>
      </w:r>
      <w:r>
        <w:rPr>
          <w:color w:val="000000" w:themeColor="text1"/>
        </w:rPr>
        <w:t xml:space="preserve"> should be used as a </w:t>
      </w:r>
      <w:proofErr w:type="gramStart"/>
      <w:r>
        <w:rPr>
          <w:color w:val="000000" w:themeColor="text1"/>
        </w:rPr>
        <w:t>tool</w:t>
      </w:r>
      <w:proofErr w:type="gramEnd"/>
      <w:r>
        <w:rPr>
          <w:color w:val="000000" w:themeColor="text1"/>
        </w:rPr>
        <w:t xml:space="preserve"> a</w:t>
      </w:r>
      <w:r w:rsidR="00C92F3D">
        <w:rPr>
          <w:color w:val="000000" w:themeColor="text1"/>
        </w:rPr>
        <w:t>n</w:t>
      </w:r>
      <w:r>
        <w:rPr>
          <w:color w:val="000000" w:themeColor="text1"/>
        </w:rPr>
        <w:t>d does not supersede any regulations or grant requirements.</w:t>
      </w:r>
    </w:p>
    <w:p w14:paraId="371E6FE6" w14:textId="7D17DDBA" w:rsidR="0086470E" w:rsidRPr="00C465C6" w:rsidRDefault="0086470E" w:rsidP="0086470E">
      <w:pPr>
        <w:pStyle w:val="Heading2"/>
        <w:rPr>
          <w:b/>
          <w:bCs/>
          <w:sz w:val="36"/>
          <w:szCs w:val="36"/>
        </w:rPr>
      </w:pPr>
      <w:r w:rsidRPr="00C465C6">
        <w:rPr>
          <w:b/>
          <w:bCs/>
          <w:sz w:val="36"/>
          <w:szCs w:val="36"/>
        </w:rPr>
        <w:t>Wrap-Up</w:t>
      </w:r>
      <w:r>
        <w:rPr>
          <w:b/>
          <w:bCs/>
          <w:sz w:val="36"/>
          <w:szCs w:val="36"/>
        </w:rPr>
        <w:t xml:space="preserve"> vs Closeout</w:t>
      </w:r>
    </w:p>
    <w:p w14:paraId="56F83B99" w14:textId="6DF97E82" w:rsidR="0086470E" w:rsidRDefault="001F192C" w:rsidP="13616FE9">
      <w:pPr>
        <w:rPr>
          <w:color w:val="000000" w:themeColor="text1"/>
        </w:rPr>
      </w:pPr>
      <w:r>
        <w:rPr>
          <w:color w:val="000000" w:themeColor="text1"/>
        </w:rPr>
        <w:t xml:space="preserve">It is important to understand that grant wrap-up is </w:t>
      </w:r>
      <w:r w:rsidR="00461779">
        <w:rPr>
          <w:color w:val="000000" w:themeColor="text1"/>
        </w:rPr>
        <w:t>separate</w:t>
      </w:r>
      <w:r>
        <w:rPr>
          <w:color w:val="000000" w:themeColor="text1"/>
        </w:rPr>
        <w:t xml:space="preserve"> from </w:t>
      </w:r>
      <w:r w:rsidR="00461779">
        <w:rPr>
          <w:color w:val="000000" w:themeColor="text1"/>
        </w:rPr>
        <w:t xml:space="preserve">the grant closeout process. </w:t>
      </w:r>
      <w:r w:rsidR="00534D08" w:rsidRPr="07C60DB8">
        <w:rPr>
          <w:color w:val="000000" w:themeColor="text1"/>
        </w:rPr>
        <w:t>Wrap-up signifies the final phase of activities during the grant’s performance period, while the closeout phase begins once the grant’s performance period concludes.</w:t>
      </w:r>
      <w:r w:rsidR="00461779">
        <w:rPr>
          <w:color w:val="000000" w:themeColor="text1"/>
        </w:rPr>
        <w:t xml:space="preserve"> If you have any questions about the distinction between wrap-up and closeout, please reach out to your coach.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="2EBE743F" w14:paraId="79474BDC" w14:textId="77777777" w:rsidTr="00DE097E">
        <w:trPr>
          <w:trHeight w:val="300"/>
        </w:trPr>
        <w:tc>
          <w:tcPr>
            <w:tcW w:w="4680" w:type="dxa"/>
            <w:shd w:val="clear" w:color="auto" w:fill="auto"/>
          </w:tcPr>
          <w:p w14:paraId="30DA2672" w14:textId="4B65D667" w:rsidR="2EBE743F" w:rsidRPr="0035125D" w:rsidRDefault="479C899B" w:rsidP="0035125D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35125D">
              <w:rPr>
                <w:b/>
                <w:bCs/>
                <w:color w:val="000000" w:themeColor="text1"/>
              </w:rPr>
              <w:t>Wrap</w:t>
            </w:r>
            <w:r w:rsidR="00461779">
              <w:rPr>
                <w:b/>
                <w:bCs/>
                <w:color w:val="000000" w:themeColor="text1"/>
              </w:rPr>
              <w:t>-u</w:t>
            </w:r>
            <w:r w:rsidRPr="0035125D">
              <w:rPr>
                <w:b/>
                <w:bCs/>
                <w:color w:val="000000" w:themeColor="text1"/>
              </w:rPr>
              <w:t>p</w:t>
            </w:r>
            <w:r w:rsidRPr="0035125D">
              <w:rPr>
                <w:color w:val="000000" w:themeColor="text1"/>
              </w:rPr>
              <w:t xml:space="preserve"> is the </w:t>
            </w:r>
            <w:r w:rsidR="64604174" w:rsidRPr="0035125D">
              <w:rPr>
                <w:color w:val="000000" w:themeColor="text1"/>
              </w:rPr>
              <w:t>final stage</w:t>
            </w:r>
            <w:r w:rsidR="37DC32F0" w:rsidRPr="0035125D">
              <w:rPr>
                <w:color w:val="000000" w:themeColor="text1"/>
              </w:rPr>
              <w:t xml:space="preserve"> of activities during the </w:t>
            </w:r>
            <w:r w:rsidR="1FDAE339" w:rsidRPr="0035125D">
              <w:rPr>
                <w:color w:val="000000" w:themeColor="text1"/>
              </w:rPr>
              <w:t xml:space="preserve">grant’s period of </w:t>
            </w:r>
            <w:r w:rsidR="28EF20CD" w:rsidRPr="0035125D">
              <w:rPr>
                <w:color w:val="000000" w:themeColor="text1"/>
              </w:rPr>
              <w:t>performance</w:t>
            </w:r>
          </w:p>
        </w:tc>
        <w:tc>
          <w:tcPr>
            <w:tcW w:w="4680" w:type="dxa"/>
            <w:shd w:val="clear" w:color="auto" w:fill="auto"/>
          </w:tcPr>
          <w:p w14:paraId="32DAA07B" w14:textId="1A822888" w:rsidR="2EBE743F" w:rsidRPr="0035125D" w:rsidRDefault="475E8318" w:rsidP="0035125D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35125D">
              <w:rPr>
                <w:b/>
                <w:bCs/>
                <w:color w:val="000000" w:themeColor="text1"/>
              </w:rPr>
              <w:t xml:space="preserve">Closeout </w:t>
            </w:r>
            <w:r w:rsidRPr="0035125D">
              <w:rPr>
                <w:color w:val="000000" w:themeColor="text1"/>
              </w:rPr>
              <w:t xml:space="preserve">begins when the </w:t>
            </w:r>
            <w:r w:rsidR="43E282DF" w:rsidRPr="0035125D">
              <w:rPr>
                <w:color w:val="000000" w:themeColor="text1"/>
              </w:rPr>
              <w:t xml:space="preserve">grant period of </w:t>
            </w:r>
            <w:r w:rsidR="4EA4FB96" w:rsidRPr="0035125D">
              <w:rPr>
                <w:color w:val="000000" w:themeColor="text1"/>
              </w:rPr>
              <w:t xml:space="preserve">performance </w:t>
            </w:r>
            <w:r w:rsidR="42A30B62" w:rsidRPr="0035125D">
              <w:rPr>
                <w:color w:val="000000" w:themeColor="text1"/>
              </w:rPr>
              <w:t>ends</w:t>
            </w:r>
          </w:p>
        </w:tc>
      </w:tr>
    </w:tbl>
    <w:p w14:paraId="051A3AB6" w14:textId="40A7F5D2" w:rsidR="00AE2CF1" w:rsidRPr="00AE2CF1" w:rsidRDefault="2573F272" w:rsidP="00AE2CF1">
      <w:pPr>
        <w:pStyle w:val="Heading2"/>
        <w:rPr>
          <w:b/>
          <w:bCs/>
          <w:sz w:val="36"/>
          <w:szCs w:val="36"/>
        </w:rPr>
      </w:pPr>
      <w:r w:rsidRPr="00C465C6">
        <w:rPr>
          <w:b/>
          <w:bCs/>
          <w:sz w:val="36"/>
          <w:szCs w:val="36"/>
        </w:rPr>
        <w:t>Wrap-Up</w:t>
      </w:r>
    </w:p>
    <w:p w14:paraId="0D911E10" w14:textId="1CDDC2CE" w:rsidR="00AE2CF1" w:rsidRDefault="002C037C" w:rsidP="00AE2CF1">
      <w:pPr>
        <w:rPr>
          <w:b/>
          <w:bCs/>
          <w:color w:val="000000" w:themeColor="text1"/>
        </w:rPr>
      </w:pPr>
      <w:hyperlink r:id="rId10" w:history="1">
        <w:r w:rsidR="00AE2CF1" w:rsidRPr="00A351D0">
          <w:rPr>
            <w:rStyle w:val="Hyperlink"/>
            <w:b/>
            <w:bCs/>
          </w:rPr>
          <w:t>End of Grant Wrap-Up Resource Checklist</w:t>
        </w:r>
      </w:hyperlink>
    </w:p>
    <w:p w14:paraId="05A8199C" w14:textId="034AD9C4" w:rsidR="00EA52D3" w:rsidRPr="00EA52D3" w:rsidRDefault="00EA52D3" w:rsidP="00AE2CF1">
      <w:pPr>
        <w:rPr>
          <w:color w:val="000000" w:themeColor="text1"/>
        </w:rPr>
      </w:pPr>
      <w:r>
        <w:rPr>
          <w:color w:val="000000" w:themeColor="text1"/>
        </w:rPr>
        <w:t xml:space="preserve">This </w:t>
      </w:r>
      <w:r w:rsidR="002373F7">
        <w:rPr>
          <w:color w:val="000000" w:themeColor="text1"/>
        </w:rPr>
        <w:t>SA T</w:t>
      </w:r>
      <w:r w:rsidR="00FF3C51">
        <w:rPr>
          <w:color w:val="000000" w:themeColor="text1"/>
        </w:rPr>
        <w:t xml:space="preserve">echnical </w:t>
      </w:r>
      <w:r w:rsidR="002373F7">
        <w:rPr>
          <w:color w:val="000000" w:themeColor="text1"/>
        </w:rPr>
        <w:t>A</w:t>
      </w:r>
      <w:r w:rsidR="00FF3C51">
        <w:rPr>
          <w:color w:val="000000" w:themeColor="text1"/>
        </w:rPr>
        <w:t>ssistance</w:t>
      </w:r>
      <w:r>
        <w:rPr>
          <w:color w:val="000000" w:themeColor="text1"/>
        </w:rPr>
        <w:t xml:space="preserve"> tip sheet provides a step-by-step guide for grantees navigating the final year of their grant programs. The checklist cover</w:t>
      </w:r>
      <w:r w:rsidR="004459FB">
        <w:rPr>
          <w:color w:val="000000" w:themeColor="text1"/>
        </w:rPr>
        <w:t>s</w:t>
      </w:r>
      <w:r>
        <w:rPr>
          <w:color w:val="000000" w:themeColor="text1"/>
        </w:rPr>
        <w:t xml:space="preserve"> sustainability, staffing and data needs, performance reporting, administrative and fiscal activities, and more</w:t>
      </w:r>
      <w:r w:rsidR="00E12952">
        <w:rPr>
          <w:color w:val="000000" w:themeColor="text1"/>
        </w:rPr>
        <w:t>,</w:t>
      </w:r>
      <w:r>
        <w:rPr>
          <w:color w:val="000000" w:themeColor="text1"/>
        </w:rPr>
        <w:t xml:space="preserve"> providing key steps for grantees to achieve for each category.</w:t>
      </w:r>
    </w:p>
    <w:p w14:paraId="0BBDDB42" w14:textId="749E6CCF" w:rsidR="00AE2CF1" w:rsidRDefault="002C037C" w:rsidP="4F95DF86">
      <w:pPr>
        <w:rPr>
          <w:b/>
          <w:bCs/>
          <w:color w:val="000000" w:themeColor="text1"/>
        </w:rPr>
      </w:pPr>
      <w:hyperlink r:id="rId11" w:history="1">
        <w:r w:rsidR="00AE2CF1" w:rsidRPr="00934A86">
          <w:rPr>
            <w:rStyle w:val="Hyperlink"/>
            <w:b/>
            <w:bCs/>
          </w:rPr>
          <w:t>End of Grant Priority Matrix for Wrap-Up Activities</w:t>
        </w:r>
      </w:hyperlink>
    </w:p>
    <w:p w14:paraId="48A1142A" w14:textId="4678C9D2" w:rsidR="00EA52D3" w:rsidRPr="00EA52D3" w:rsidRDefault="004F0591" w:rsidP="4F95DF86">
      <w:pPr>
        <w:rPr>
          <w:color w:val="000000" w:themeColor="text1"/>
        </w:rPr>
      </w:pPr>
      <w:r>
        <w:rPr>
          <w:color w:val="000000" w:themeColor="text1"/>
        </w:rPr>
        <w:t xml:space="preserve">This self-assessment tool allows grantees </w:t>
      </w:r>
      <w:r w:rsidR="006D3E20">
        <w:rPr>
          <w:color w:val="000000" w:themeColor="text1"/>
        </w:rPr>
        <w:t xml:space="preserve">to </w:t>
      </w:r>
      <w:r w:rsidR="00382B27">
        <w:rPr>
          <w:color w:val="000000" w:themeColor="text1"/>
        </w:rPr>
        <w:t xml:space="preserve">prioritize their efforts across key factors such as performance outcomes, </w:t>
      </w:r>
      <w:r w:rsidR="00A94BC1">
        <w:rPr>
          <w:color w:val="000000" w:themeColor="text1"/>
        </w:rPr>
        <w:t>staffing, sustainability, communication, and leaving a legacy. Additionally, grantees can evaluate t</w:t>
      </w:r>
      <w:r w:rsidR="00AE069D">
        <w:rPr>
          <w:color w:val="000000" w:themeColor="text1"/>
        </w:rPr>
        <w:t>heir current status</w:t>
      </w:r>
      <w:r w:rsidR="00694BA8">
        <w:rPr>
          <w:color w:val="000000" w:themeColor="text1"/>
        </w:rPr>
        <w:t xml:space="preserve">es in these factors to </w:t>
      </w:r>
      <w:r w:rsidR="00D1426D">
        <w:rPr>
          <w:color w:val="000000" w:themeColor="text1"/>
        </w:rPr>
        <w:t>identify strengths and weaknesses.</w:t>
      </w:r>
    </w:p>
    <w:p w14:paraId="3A3D7315" w14:textId="77777777" w:rsidR="00F837CB" w:rsidRDefault="00F837CB">
      <w:r>
        <w:br w:type="page"/>
      </w:r>
    </w:p>
    <w:p w14:paraId="010B7115" w14:textId="30B210DB" w:rsidR="110F5FB1" w:rsidRDefault="002C037C" w:rsidP="4F95DF86">
      <w:hyperlink r:id="rId12">
        <w:r w:rsidR="110F5FB1" w:rsidRPr="4F95DF86">
          <w:rPr>
            <w:rStyle w:val="Hyperlink"/>
            <w:b/>
            <w:bCs/>
          </w:rPr>
          <w:t>What to Expect in the Final Year of Your Grant Webinar</w:t>
        </w:r>
      </w:hyperlink>
    </w:p>
    <w:p w14:paraId="7483B3D3" w14:textId="201228D1" w:rsidR="2573F272" w:rsidRPr="00493230" w:rsidRDefault="07C60DB8" w:rsidP="4F95DF86">
      <w:pPr>
        <w:rPr>
          <w:color w:val="000000" w:themeColor="text1"/>
        </w:rPr>
      </w:pPr>
      <w:r w:rsidRPr="57A0777B">
        <w:rPr>
          <w:color w:val="000000" w:themeColor="text1"/>
        </w:rPr>
        <w:t>This webinar offer</w:t>
      </w:r>
      <w:r w:rsidR="00203D27" w:rsidRPr="57A0777B">
        <w:rPr>
          <w:color w:val="000000" w:themeColor="text1"/>
        </w:rPr>
        <w:t xml:space="preserve">s </w:t>
      </w:r>
      <w:r w:rsidR="00FF3C51">
        <w:rPr>
          <w:color w:val="000000" w:themeColor="text1"/>
        </w:rPr>
        <w:t>SA</w:t>
      </w:r>
      <w:r w:rsidR="00203D27" w:rsidRPr="57A0777B">
        <w:rPr>
          <w:color w:val="000000" w:themeColor="text1"/>
        </w:rPr>
        <w:t xml:space="preserve"> grantees</w:t>
      </w:r>
      <w:r w:rsidRPr="57A0777B">
        <w:rPr>
          <w:color w:val="000000" w:themeColor="text1"/>
        </w:rPr>
        <w:t xml:space="preserve"> a comprehensive overview of the essential activities necessary </w:t>
      </w:r>
      <w:r w:rsidR="002A1782" w:rsidRPr="57A0777B">
        <w:rPr>
          <w:color w:val="000000" w:themeColor="text1"/>
        </w:rPr>
        <w:t>for successful</w:t>
      </w:r>
      <w:r w:rsidRPr="57A0777B">
        <w:rPr>
          <w:color w:val="000000" w:themeColor="text1"/>
        </w:rPr>
        <w:t xml:space="preserve"> wrap-up. </w:t>
      </w:r>
      <w:r w:rsidR="00FF3C51">
        <w:rPr>
          <w:color w:val="000000" w:themeColor="text1"/>
        </w:rPr>
        <w:t>MSG c</w:t>
      </w:r>
      <w:r w:rsidR="00604B74" w:rsidRPr="57A0777B">
        <w:rPr>
          <w:color w:val="000000" w:themeColor="text1"/>
        </w:rPr>
        <w:t xml:space="preserve">oaches </w:t>
      </w:r>
      <w:r w:rsidR="00666677" w:rsidRPr="57A0777B">
        <w:rPr>
          <w:color w:val="000000" w:themeColor="text1"/>
        </w:rPr>
        <w:t xml:space="preserve">reviewed core wrap-up activities, shared useful tips from Federal Project Officers, </w:t>
      </w:r>
      <w:r w:rsidR="00493230" w:rsidRPr="57A0777B">
        <w:rPr>
          <w:color w:val="000000" w:themeColor="text1"/>
        </w:rPr>
        <w:t>and walked through the resource checklist and priority matrix referenced above.</w:t>
      </w:r>
    </w:p>
    <w:p w14:paraId="2349D7C4" w14:textId="5762935B" w:rsidR="2573F272" w:rsidRPr="00C465C6" w:rsidRDefault="2573F272" w:rsidP="00EA5866">
      <w:pPr>
        <w:pStyle w:val="Heading2"/>
        <w:rPr>
          <w:b/>
          <w:bCs/>
          <w:sz w:val="36"/>
          <w:szCs w:val="36"/>
        </w:rPr>
      </w:pPr>
      <w:r w:rsidRPr="00C465C6">
        <w:rPr>
          <w:b/>
          <w:bCs/>
          <w:sz w:val="36"/>
          <w:szCs w:val="36"/>
        </w:rPr>
        <w:t>Closeout</w:t>
      </w:r>
    </w:p>
    <w:p w14:paraId="44F5A1EE" w14:textId="1E8A3531" w:rsidR="56B58C38" w:rsidRDefault="002C037C" w:rsidP="4F95DF86">
      <w:pPr>
        <w:rPr>
          <w:b/>
          <w:bCs/>
        </w:rPr>
      </w:pPr>
      <w:hyperlink r:id="rId13">
        <w:r w:rsidR="002C45B3">
          <w:rPr>
            <w:rStyle w:val="Hyperlink"/>
            <w:b/>
            <w:bCs/>
          </w:rPr>
          <w:t xml:space="preserve">The </w:t>
        </w:r>
        <w:r w:rsidR="56B58C38" w:rsidRPr="4F95DF86">
          <w:rPr>
            <w:rStyle w:val="Hyperlink"/>
            <w:b/>
            <w:bCs/>
          </w:rPr>
          <w:t xml:space="preserve">Closeout </w:t>
        </w:r>
        <w:r w:rsidR="002C45B3">
          <w:rPr>
            <w:rStyle w:val="Hyperlink"/>
            <w:b/>
            <w:bCs/>
          </w:rPr>
          <w:t xml:space="preserve">Process </w:t>
        </w:r>
        <w:r w:rsidR="56B58C38" w:rsidRPr="4F95DF86">
          <w:rPr>
            <w:rStyle w:val="Hyperlink"/>
            <w:b/>
            <w:bCs/>
          </w:rPr>
          <w:t>F</w:t>
        </w:r>
        <w:r w:rsidR="003932D4">
          <w:rPr>
            <w:rStyle w:val="Hyperlink"/>
            <w:b/>
            <w:bCs/>
          </w:rPr>
          <w:t xml:space="preserve">requently </w:t>
        </w:r>
        <w:r w:rsidR="56B58C38" w:rsidRPr="4F95DF86">
          <w:rPr>
            <w:rStyle w:val="Hyperlink"/>
            <w:b/>
            <w:bCs/>
          </w:rPr>
          <w:t>A</w:t>
        </w:r>
        <w:r w:rsidR="003932D4">
          <w:rPr>
            <w:rStyle w:val="Hyperlink"/>
            <w:b/>
            <w:bCs/>
          </w:rPr>
          <w:t xml:space="preserve">sked </w:t>
        </w:r>
        <w:r w:rsidR="56B58C38" w:rsidRPr="4F95DF86">
          <w:rPr>
            <w:rStyle w:val="Hyperlink"/>
            <w:b/>
            <w:bCs/>
          </w:rPr>
          <w:t>Q</w:t>
        </w:r>
      </w:hyperlink>
      <w:r w:rsidR="003932D4">
        <w:rPr>
          <w:rStyle w:val="Hyperlink"/>
          <w:b/>
          <w:bCs/>
        </w:rPr>
        <w:t>uestions</w:t>
      </w:r>
    </w:p>
    <w:p w14:paraId="7E246AC0" w14:textId="06B3FCA0" w:rsidR="421C180E" w:rsidRDefault="07C60DB8" w:rsidP="4F95DF86">
      <w:pPr>
        <w:rPr>
          <w:color w:val="262626" w:themeColor="text1" w:themeTint="D9"/>
        </w:rPr>
      </w:pPr>
      <w:r w:rsidRPr="07C60DB8">
        <w:rPr>
          <w:color w:val="262626" w:themeColor="text1" w:themeTint="D9"/>
        </w:rPr>
        <w:t xml:space="preserve">This collection of frequently asked questions and </w:t>
      </w:r>
      <w:r w:rsidR="003932D4" w:rsidRPr="07C60DB8">
        <w:rPr>
          <w:color w:val="262626" w:themeColor="text1" w:themeTint="D9"/>
        </w:rPr>
        <w:t>answers assembled</w:t>
      </w:r>
      <w:r w:rsidRPr="07C60DB8">
        <w:rPr>
          <w:color w:val="262626" w:themeColor="text1" w:themeTint="D9"/>
        </w:rPr>
        <w:t xml:space="preserve"> by the Office of Grants Management serves as a valuable resource for quickly addressing essential questions pertaining to grant closeout.</w:t>
      </w:r>
    </w:p>
    <w:p w14:paraId="15A2C7F9" w14:textId="39FD4F61" w:rsidR="56B58C38" w:rsidRDefault="002C037C" w:rsidP="4F95DF86">
      <w:pPr>
        <w:rPr>
          <w:b/>
          <w:bCs/>
        </w:rPr>
      </w:pPr>
      <w:hyperlink r:id="rId14">
        <w:r w:rsidR="56B58C38" w:rsidRPr="4F95DF86">
          <w:rPr>
            <w:rStyle w:val="Hyperlink"/>
            <w:b/>
            <w:bCs/>
          </w:rPr>
          <w:t xml:space="preserve">Closeout </w:t>
        </w:r>
        <w:r w:rsidR="6B4AEBCC" w:rsidRPr="4F95DF86">
          <w:rPr>
            <w:rStyle w:val="Hyperlink"/>
            <w:b/>
            <w:bCs/>
          </w:rPr>
          <w:t>Training and Employment Guidance Letter (</w:t>
        </w:r>
        <w:r w:rsidR="56B58C38" w:rsidRPr="4F95DF86">
          <w:rPr>
            <w:rStyle w:val="Hyperlink"/>
            <w:b/>
            <w:bCs/>
          </w:rPr>
          <w:t>TEGL</w:t>
        </w:r>
        <w:r w:rsidR="1ECF3E57" w:rsidRPr="4F95DF86">
          <w:rPr>
            <w:rStyle w:val="Hyperlink"/>
            <w:b/>
            <w:bCs/>
          </w:rPr>
          <w:t>)</w:t>
        </w:r>
      </w:hyperlink>
    </w:p>
    <w:p w14:paraId="5CEBF33A" w14:textId="4F962066" w:rsidR="1ECF3E57" w:rsidRDefault="07C60DB8" w:rsidP="4F95DF86">
      <w:pPr>
        <w:rPr>
          <w:color w:val="262626" w:themeColor="text1" w:themeTint="D9"/>
        </w:rPr>
      </w:pPr>
      <w:r w:rsidRPr="07C60DB8">
        <w:rPr>
          <w:color w:val="000000" w:themeColor="text1"/>
        </w:rPr>
        <w:t>This Training and Employment Guidance Letter (TEGL) is an essential source of information on the U.S. Department of Labor’s (DOL) initiatives to</w:t>
      </w:r>
      <w:r w:rsidR="003932D4">
        <w:rPr>
          <w:color w:val="000000" w:themeColor="text1"/>
        </w:rPr>
        <w:t xml:space="preserve"> </w:t>
      </w:r>
      <w:r w:rsidRPr="07C60DB8">
        <w:rPr>
          <w:color w:val="000000" w:themeColor="text1"/>
        </w:rPr>
        <w:t xml:space="preserve">enhance the efficiency of </w:t>
      </w:r>
      <w:r w:rsidR="003932D4" w:rsidRPr="07C60DB8">
        <w:rPr>
          <w:color w:val="000000" w:themeColor="text1"/>
        </w:rPr>
        <w:t>the award</w:t>
      </w:r>
      <w:r w:rsidRPr="07C60DB8">
        <w:rPr>
          <w:color w:val="000000" w:themeColor="text1"/>
        </w:rPr>
        <w:t xml:space="preserve"> closeout process. This document is updated as needed, so it may be helpful to keep this page bookmarked to ensure that you access the most up-to-date information.</w:t>
      </w:r>
    </w:p>
    <w:p w14:paraId="6A742EA2" w14:textId="2E4EACC2" w:rsidR="091C3E69" w:rsidRPr="00641BCC" w:rsidRDefault="002C037C" w:rsidP="4F95DF86">
      <w:pPr>
        <w:rPr>
          <w:sz w:val="36"/>
          <w:szCs w:val="36"/>
        </w:rPr>
      </w:pPr>
      <w:hyperlink r:id="rId15">
        <w:r w:rsidR="091C3E69" w:rsidRPr="4F95DF86">
          <w:rPr>
            <w:rStyle w:val="Hyperlink"/>
            <w:b/>
            <w:bCs/>
          </w:rPr>
          <w:t>Closing Out Your U.S. Department of Labor Grant Webinar</w:t>
        </w:r>
      </w:hyperlink>
    </w:p>
    <w:p w14:paraId="0802D495" w14:textId="3429F1BA" w:rsidR="07C60DB8" w:rsidRDefault="07C60DB8" w:rsidP="07C60DB8">
      <w:pPr>
        <w:rPr>
          <w:color w:val="262626" w:themeColor="text1" w:themeTint="D9"/>
        </w:rPr>
      </w:pPr>
      <w:r w:rsidRPr="07C60DB8">
        <w:rPr>
          <w:color w:val="262626" w:themeColor="text1" w:themeTint="D9"/>
        </w:rPr>
        <w:t xml:space="preserve">Avery Malone, a Closeout Resolution Specialist from </w:t>
      </w:r>
      <w:r w:rsidR="009B1D9A" w:rsidRPr="07C60DB8">
        <w:rPr>
          <w:color w:val="262626" w:themeColor="text1" w:themeTint="D9"/>
        </w:rPr>
        <w:t>DOL</w:t>
      </w:r>
      <w:r w:rsidR="009B1D9A">
        <w:rPr>
          <w:color w:val="262626" w:themeColor="text1" w:themeTint="D9"/>
        </w:rPr>
        <w:t>’</w:t>
      </w:r>
      <w:r w:rsidR="009B1D9A" w:rsidRPr="07C60DB8">
        <w:rPr>
          <w:color w:val="262626" w:themeColor="text1" w:themeTint="D9"/>
        </w:rPr>
        <w:t>s Office of Grants Management</w:t>
      </w:r>
      <w:r w:rsidRPr="07C60DB8">
        <w:rPr>
          <w:color w:val="262626" w:themeColor="text1" w:themeTint="D9"/>
        </w:rPr>
        <w:t xml:space="preserve">, presented this webinar exclusively for </w:t>
      </w:r>
      <w:r w:rsidR="001A3911">
        <w:rPr>
          <w:color w:val="262626" w:themeColor="text1" w:themeTint="D9"/>
        </w:rPr>
        <w:t>SA</w:t>
      </w:r>
      <w:r w:rsidR="001613C3">
        <w:rPr>
          <w:color w:val="262626" w:themeColor="text1" w:themeTint="D9"/>
        </w:rPr>
        <w:t xml:space="preserve"> </w:t>
      </w:r>
      <w:r w:rsidRPr="07C60DB8">
        <w:rPr>
          <w:color w:val="262626" w:themeColor="text1" w:themeTint="D9"/>
        </w:rPr>
        <w:t xml:space="preserve">grantees. Accessible on the WorkforceGPS page, grantees will find the complete webinar recording, a transcript, an executive summary, and the PowerPoint presentation offering comprehensive resources. </w:t>
      </w:r>
    </w:p>
    <w:p w14:paraId="285844E2" w14:textId="6C982A5F" w:rsidR="4DD30CFA" w:rsidRDefault="002C037C" w:rsidP="07D11667">
      <w:pPr>
        <w:rPr>
          <w:b/>
          <w:bCs/>
        </w:rPr>
      </w:pPr>
      <w:hyperlink r:id="rId16">
        <w:r w:rsidR="4DD30CFA" w:rsidRPr="07D11667">
          <w:rPr>
            <w:rStyle w:val="Hyperlink"/>
            <w:b/>
            <w:bCs/>
          </w:rPr>
          <w:t>Code of Federal Regulations (</w:t>
        </w:r>
        <w:r w:rsidR="3097FE69" w:rsidRPr="07D11667">
          <w:rPr>
            <w:rStyle w:val="Hyperlink"/>
            <w:b/>
            <w:bCs/>
          </w:rPr>
          <w:t>C</w:t>
        </w:r>
        <w:r w:rsidR="00E12952">
          <w:rPr>
            <w:rStyle w:val="Hyperlink"/>
            <w:b/>
            <w:bCs/>
          </w:rPr>
          <w:t>.</w:t>
        </w:r>
        <w:r w:rsidR="58E1A6D3" w:rsidRPr="07D11667">
          <w:rPr>
            <w:rStyle w:val="Hyperlink"/>
            <w:b/>
            <w:bCs/>
          </w:rPr>
          <w:t>F</w:t>
        </w:r>
        <w:r w:rsidR="00E12952">
          <w:rPr>
            <w:rStyle w:val="Hyperlink"/>
            <w:b/>
            <w:bCs/>
          </w:rPr>
          <w:t>.</w:t>
        </w:r>
        <w:r w:rsidR="58E1A6D3" w:rsidRPr="07D11667">
          <w:rPr>
            <w:rStyle w:val="Hyperlink"/>
            <w:b/>
            <w:bCs/>
          </w:rPr>
          <w:t>R</w:t>
        </w:r>
        <w:r w:rsidR="00E12952">
          <w:rPr>
            <w:rStyle w:val="Hyperlink"/>
            <w:b/>
            <w:bCs/>
          </w:rPr>
          <w:t>.</w:t>
        </w:r>
        <w:r w:rsidR="1FBE3316" w:rsidRPr="07D11667">
          <w:rPr>
            <w:rStyle w:val="Hyperlink"/>
            <w:b/>
            <w:bCs/>
          </w:rPr>
          <w:t>)</w:t>
        </w:r>
        <w:r w:rsidR="58E1A6D3" w:rsidRPr="07D11667">
          <w:rPr>
            <w:rStyle w:val="Hyperlink"/>
            <w:b/>
            <w:bCs/>
          </w:rPr>
          <w:t xml:space="preserve"> </w:t>
        </w:r>
        <w:r w:rsidR="002C45B3">
          <w:rPr>
            <w:rStyle w:val="Hyperlink"/>
            <w:b/>
            <w:bCs/>
          </w:rPr>
          <w:t xml:space="preserve">§ </w:t>
        </w:r>
        <w:r w:rsidR="58E1A6D3" w:rsidRPr="07D11667">
          <w:rPr>
            <w:rStyle w:val="Hyperlink"/>
            <w:b/>
            <w:bCs/>
          </w:rPr>
          <w:t>200.344</w:t>
        </w:r>
        <w:r w:rsidR="071D2F80" w:rsidRPr="07D11667">
          <w:rPr>
            <w:rStyle w:val="Hyperlink"/>
            <w:b/>
            <w:bCs/>
          </w:rPr>
          <w:t xml:space="preserve"> Closeout</w:t>
        </w:r>
      </w:hyperlink>
    </w:p>
    <w:p w14:paraId="4D40B1FD" w14:textId="73F04CA5" w:rsidR="00696E4A" w:rsidRDefault="07C60DB8" w:rsidP="079B0E69">
      <w:pPr>
        <w:rPr>
          <w:color w:val="262626" w:themeColor="text1" w:themeTint="D9"/>
        </w:rPr>
      </w:pPr>
      <w:r w:rsidRPr="07C60DB8">
        <w:rPr>
          <w:color w:val="262626" w:themeColor="text1" w:themeTint="D9"/>
        </w:rPr>
        <w:t>C</w:t>
      </w:r>
      <w:r w:rsidR="00E12952">
        <w:rPr>
          <w:color w:val="262626" w:themeColor="text1" w:themeTint="D9"/>
        </w:rPr>
        <w:t>.</w:t>
      </w:r>
      <w:r w:rsidRPr="07C60DB8">
        <w:rPr>
          <w:color w:val="262626" w:themeColor="text1" w:themeTint="D9"/>
        </w:rPr>
        <w:t>F</w:t>
      </w:r>
      <w:r w:rsidR="00E12952">
        <w:rPr>
          <w:color w:val="262626" w:themeColor="text1" w:themeTint="D9"/>
        </w:rPr>
        <w:t>.</w:t>
      </w:r>
      <w:r w:rsidRPr="07C60DB8">
        <w:rPr>
          <w:color w:val="262626" w:themeColor="text1" w:themeTint="D9"/>
        </w:rPr>
        <w:t>R</w:t>
      </w:r>
      <w:r w:rsidR="00E12952">
        <w:rPr>
          <w:color w:val="262626" w:themeColor="text1" w:themeTint="D9"/>
        </w:rPr>
        <w:t>.</w:t>
      </w:r>
      <w:r w:rsidRPr="07C60DB8">
        <w:rPr>
          <w:color w:val="262626" w:themeColor="text1" w:themeTint="D9"/>
        </w:rPr>
        <w:t xml:space="preserve"> </w:t>
      </w:r>
      <w:r w:rsidR="00E12952">
        <w:rPr>
          <w:color w:val="262626" w:themeColor="text1" w:themeTint="D9"/>
        </w:rPr>
        <w:t xml:space="preserve">§ </w:t>
      </w:r>
      <w:r w:rsidRPr="07C60DB8">
        <w:rPr>
          <w:color w:val="262626" w:themeColor="text1" w:themeTint="D9"/>
        </w:rPr>
        <w:t xml:space="preserve">200.34 </w:t>
      </w:r>
      <w:r w:rsidR="003932D4">
        <w:rPr>
          <w:color w:val="262626" w:themeColor="text1" w:themeTint="D9"/>
        </w:rPr>
        <w:t>provides</w:t>
      </w:r>
      <w:r w:rsidRPr="07C60DB8">
        <w:rPr>
          <w:color w:val="262626" w:themeColor="text1" w:themeTint="D9"/>
        </w:rPr>
        <w:t xml:space="preserve"> </w:t>
      </w:r>
      <w:r w:rsidR="003932D4" w:rsidRPr="07C60DB8">
        <w:rPr>
          <w:color w:val="262626" w:themeColor="text1" w:themeTint="D9"/>
        </w:rPr>
        <w:t>the definitive</w:t>
      </w:r>
      <w:r w:rsidRPr="07C60DB8">
        <w:rPr>
          <w:color w:val="262626" w:themeColor="text1" w:themeTint="D9"/>
        </w:rPr>
        <w:t xml:space="preserve"> time</w:t>
      </w:r>
      <w:r w:rsidR="00E12952">
        <w:rPr>
          <w:color w:val="262626" w:themeColor="text1" w:themeTint="D9"/>
        </w:rPr>
        <w:t xml:space="preserve"> </w:t>
      </w:r>
      <w:r w:rsidRPr="07C60DB8">
        <w:rPr>
          <w:color w:val="262626" w:themeColor="text1" w:themeTint="D9"/>
        </w:rPr>
        <w:t xml:space="preserve">frame for the submission of all required closeout documentation. </w:t>
      </w:r>
      <w:r w:rsidR="003932D4" w:rsidRPr="07C60DB8">
        <w:rPr>
          <w:color w:val="262626" w:themeColor="text1" w:themeTint="D9"/>
        </w:rPr>
        <w:t>If</w:t>
      </w:r>
      <w:r w:rsidRPr="07C60DB8">
        <w:rPr>
          <w:color w:val="262626" w:themeColor="text1" w:themeTint="D9"/>
        </w:rPr>
        <w:t xml:space="preserve"> your award was issued prior to November 2020, then you are subject to one of the previous versions of that Uniform Guidance</w:t>
      </w:r>
      <w:r w:rsidR="009716F3" w:rsidRPr="07C60DB8">
        <w:rPr>
          <w:color w:val="262626" w:themeColor="text1" w:themeTint="D9"/>
        </w:rPr>
        <w:t xml:space="preserve">. </w:t>
      </w:r>
      <w:r w:rsidRPr="07C60DB8">
        <w:rPr>
          <w:color w:val="262626" w:themeColor="text1" w:themeTint="D9"/>
        </w:rPr>
        <w:t xml:space="preserve">In such cases it is important to note that awards issued prior to November 2020 are granted </w:t>
      </w:r>
      <w:r w:rsidR="009716F3" w:rsidRPr="07C60DB8">
        <w:rPr>
          <w:color w:val="262626" w:themeColor="text1" w:themeTint="D9"/>
        </w:rPr>
        <w:t>a 90</w:t>
      </w:r>
      <w:r w:rsidRPr="07C60DB8">
        <w:rPr>
          <w:color w:val="262626" w:themeColor="text1" w:themeTint="D9"/>
        </w:rPr>
        <w:t xml:space="preserve">-day </w:t>
      </w:r>
      <w:r w:rsidR="009716F3" w:rsidRPr="07C60DB8">
        <w:rPr>
          <w:color w:val="262626" w:themeColor="text1" w:themeTint="D9"/>
        </w:rPr>
        <w:t>window to</w:t>
      </w:r>
      <w:r w:rsidRPr="07C60DB8">
        <w:rPr>
          <w:color w:val="262626" w:themeColor="text1" w:themeTint="D9"/>
        </w:rPr>
        <w:t xml:space="preserve"> submit all required closeout documentation. </w:t>
      </w:r>
    </w:p>
    <w:p w14:paraId="6707AE44" w14:textId="2D90534F" w:rsidR="6C134F45" w:rsidRDefault="6C134F45" w:rsidP="4F95DF86">
      <w:pPr>
        <w:rPr>
          <w:b/>
          <w:bCs/>
          <w:sz w:val="28"/>
          <w:szCs w:val="28"/>
        </w:rPr>
      </w:pPr>
      <w:r w:rsidRPr="4F95DF86">
        <w:rPr>
          <w:b/>
          <w:bCs/>
          <w:sz w:val="28"/>
          <w:szCs w:val="28"/>
        </w:rPr>
        <w:t>Other Useful Links</w:t>
      </w:r>
    </w:p>
    <w:p w14:paraId="1B912739" w14:textId="6D83FEAF" w:rsidR="33248470" w:rsidRDefault="00516693" w:rsidP="4F95DF86">
      <w:pPr>
        <w:rPr>
          <w:b/>
          <w:bCs/>
        </w:rPr>
      </w:pPr>
      <w:hyperlink r:id="rId17">
        <w:proofErr w:type="spellStart"/>
        <w:r w:rsidR="33248470" w:rsidRPr="07D11667">
          <w:rPr>
            <w:rStyle w:val="Hyperlink"/>
            <w:b/>
            <w:bCs/>
          </w:rPr>
          <w:t>GrantSolutions</w:t>
        </w:r>
        <w:proofErr w:type="spellEnd"/>
        <w:r w:rsidR="33248470" w:rsidRPr="07D11667">
          <w:rPr>
            <w:rStyle w:val="Hyperlink"/>
            <w:b/>
            <w:bCs/>
          </w:rPr>
          <w:t xml:space="preserve"> Grants Management Module</w:t>
        </w:r>
      </w:hyperlink>
    </w:p>
    <w:p w14:paraId="06B581BA" w14:textId="3DDA977C" w:rsidR="33248470" w:rsidRDefault="002C037C" w:rsidP="4F95DF86">
      <w:pPr>
        <w:rPr>
          <w:b/>
          <w:bCs/>
        </w:rPr>
      </w:pPr>
      <w:hyperlink r:id="rId18">
        <w:r w:rsidR="33248470" w:rsidRPr="07D11667">
          <w:rPr>
            <w:rStyle w:val="Hyperlink"/>
            <w:b/>
            <w:bCs/>
          </w:rPr>
          <w:t>Payment Management Systems (PMS)</w:t>
        </w:r>
      </w:hyperlink>
    </w:p>
    <w:p w14:paraId="13BA52D9" w14:textId="46826E93" w:rsidR="793BFC5C" w:rsidRDefault="002C037C" w:rsidP="07D11667">
      <w:pPr>
        <w:rPr>
          <w:b/>
          <w:bCs/>
        </w:rPr>
      </w:pPr>
      <w:hyperlink r:id="rId19">
        <w:r w:rsidR="793BFC5C" w:rsidRPr="07D11667">
          <w:rPr>
            <w:rStyle w:val="Hyperlink"/>
            <w:b/>
            <w:bCs/>
          </w:rPr>
          <w:t xml:space="preserve">DOL Employment and Training Administration Grantee </w:t>
        </w:r>
        <w:r w:rsidR="5F43882D" w:rsidRPr="07D11667">
          <w:rPr>
            <w:rStyle w:val="Hyperlink"/>
            <w:b/>
            <w:bCs/>
          </w:rPr>
          <w:t>Handbook</w:t>
        </w:r>
      </w:hyperlink>
    </w:p>
    <w:p w14:paraId="180FDA0E" w14:textId="39CE72EE" w:rsidR="4F95DF86" w:rsidRDefault="4F95DF86" w:rsidP="4F95DF86">
      <w:pPr>
        <w:rPr>
          <w:b/>
          <w:bCs/>
        </w:rPr>
      </w:pPr>
    </w:p>
    <w:sectPr w:rsidR="4F95DF86">
      <w:headerReference w:type="default" r:id="rId2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D792A7" w14:textId="77777777" w:rsidR="003356E6" w:rsidRDefault="003356E6" w:rsidP="006147CA">
      <w:pPr>
        <w:spacing w:after="0" w:line="240" w:lineRule="auto"/>
      </w:pPr>
      <w:r>
        <w:separator/>
      </w:r>
    </w:p>
  </w:endnote>
  <w:endnote w:type="continuationSeparator" w:id="0">
    <w:p w14:paraId="7CF75A7B" w14:textId="77777777" w:rsidR="003356E6" w:rsidRDefault="003356E6" w:rsidP="006147CA">
      <w:pPr>
        <w:spacing w:after="0" w:line="240" w:lineRule="auto"/>
      </w:pPr>
      <w:r>
        <w:continuationSeparator/>
      </w:r>
    </w:p>
  </w:endnote>
  <w:endnote w:type="continuationNotice" w:id="1">
    <w:p w14:paraId="03250450" w14:textId="77777777" w:rsidR="003356E6" w:rsidRDefault="003356E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153BF" w14:textId="77777777" w:rsidR="003356E6" w:rsidRDefault="003356E6" w:rsidP="006147CA">
      <w:pPr>
        <w:spacing w:after="0" w:line="240" w:lineRule="auto"/>
      </w:pPr>
      <w:r>
        <w:separator/>
      </w:r>
    </w:p>
  </w:footnote>
  <w:footnote w:type="continuationSeparator" w:id="0">
    <w:p w14:paraId="242A7041" w14:textId="77777777" w:rsidR="003356E6" w:rsidRDefault="003356E6" w:rsidP="006147CA">
      <w:pPr>
        <w:spacing w:after="0" w:line="240" w:lineRule="auto"/>
      </w:pPr>
      <w:r>
        <w:continuationSeparator/>
      </w:r>
    </w:p>
  </w:footnote>
  <w:footnote w:type="continuationNotice" w:id="1">
    <w:p w14:paraId="1512B216" w14:textId="77777777" w:rsidR="003356E6" w:rsidRDefault="003356E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F3312" w14:textId="4FD2941E" w:rsidR="006147CA" w:rsidRDefault="006147CA">
    <w:pPr>
      <w:pStyle w:val="Header"/>
    </w:pPr>
    <w:r>
      <w:rPr>
        <w:noProof/>
        <w:sz w:val="48"/>
        <w:szCs w:val="48"/>
      </w:rPr>
      <w:drawing>
        <wp:inline distT="0" distB="0" distL="0" distR="0" wp14:anchorId="5C891F49" wp14:editId="2E2A34E2">
          <wp:extent cx="5943600" cy="1069975"/>
          <wp:effectExtent l="0" t="0" r="0" b="0"/>
          <wp:docPr id="1" name="Picture 1" descr="A collage of people working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collage of people working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069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E62D58F" w14:textId="77777777" w:rsidR="00C465C6" w:rsidRDefault="00C465C6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pF22IHC1uhFpG7" int2:id="oX9Zv1qw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703AE"/>
    <w:multiLevelType w:val="hybridMultilevel"/>
    <w:tmpl w:val="C862CB40"/>
    <w:lvl w:ilvl="0" w:tplc="CDE096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8259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trackRevision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9BB929"/>
    <w:rsid w:val="000407E5"/>
    <w:rsid w:val="0004460C"/>
    <w:rsid w:val="00053816"/>
    <w:rsid w:val="000625B7"/>
    <w:rsid w:val="00093AF7"/>
    <w:rsid w:val="000A5F79"/>
    <w:rsid w:val="000C3E2E"/>
    <w:rsid w:val="000D0542"/>
    <w:rsid w:val="000D301F"/>
    <w:rsid w:val="00124802"/>
    <w:rsid w:val="001504B5"/>
    <w:rsid w:val="001613C3"/>
    <w:rsid w:val="00171F4F"/>
    <w:rsid w:val="001A3911"/>
    <w:rsid w:val="001C5424"/>
    <w:rsid w:val="001D69E9"/>
    <w:rsid w:val="001F192C"/>
    <w:rsid w:val="001F710B"/>
    <w:rsid w:val="00203D27"/>
    <w:rsid w:val="00211145"/>
    <w:rsid w:val="00216601"/>
    <w:rsid w:val="002373F7"/>
    <w:rsid w:val="00245B01"/>
    <w:rsid w:val="00283D4B"/>
    <w:rsid w:val="00297723"/>
    <w:rsid w:val="00297ED0"/>
    <w:rsid w:val="002A1782"/>
    <w:rsid w:val="002C037C"/>
    <w:rsid w:val="002C103B"/>
    <w:rsid w:val="002C45B3"/>
    <w:rsid w:val="002E2B84"/>
    <w:rsid w:val="002F0BF8"/>
    <w:rsid w:val="00333C29"/>
    <w:rsid w:val="003356E6"/>
    <w:rsid w:val="0035125D"/>
    <w:rsid w:val="00365E74"/>
    <w:rsid w:val="00382B27"/>
    <w:rsid w:val="00391D8F"/>
    <w:rsid w:val="003932D4"/>
    <w:rsid w:val="003958F6"/>
    <w:rsid w:val="003A6BA0"/>
    <w:rsid w:val="003D3AA3"/>
    <w:rsid w:val="003F3EEB"/>
    <w:rsid w:val="004459FB"/>
    <w:rsid w:val="00461779"/>
    <w:rsid w:val="004910A0"/>
    <w:rsid w:val="00493230"/>
    <w:rsid w:val="004E0221"/>
    <w:rsid w:val="004F0591"/>
    <w:rsid w:val="004F408F"/>
    <w:rsid w:val="00516693"/>
    <w:rsid w:val="00523DC3"/>
    <w:rsid w:val="0052757D"/>
    <w:rsid w:val="00533E8C"/>
    <w:rsid w:val="00534D08"/>
    <w:rsid w:val="00594527"/>
    <w:rsid w:val="00596DA9"/>
    <w:rsid w:val="005C264C"/>
    <w:rsid w:val="006043AA"/>
    <w:rsid w:val="00604B74"/>
    <w:rsid w:val="006147CA"/>
    <w:rsid w:val="00641BCC"/>
    <w:rsid w:val="00666677"/>
    <w:rsid w:val="0069194A"/>
    <w:rsid w:val="00693643"/>
    <w:rsid w:val="00694BA8"/>
    <w:rsid w:val="00696E4A"/>
    <w:rsid w:val="006B7AF0"/>
    <w:rsid w:val="006D3E20"/>
    <w:rsid w:val="006D47F2"/>
    <w:rsid w:val="006D4D60"/>
    <w:rsid w:val="006F283B"/>
    <w:rsid w:val="00731EA2"/>
    <w:rsid w:val="00741FAA"/>
    <w:rsid w:val="007501C6"/>
    <w:rsid w:val="00753C6A"/>
    <w:rsid w:val="007930F9"/>
    <w:rsid w:val="007A57E9"/>
    <w:rsid w:val="007B0815"/>
    <w:rsid w:val="007D3AA0"/>
    <w:rsid w:val="007E0707"/>
    <w:rsid w:val="00803E1E"/>
    <w:rsid w:val="00822474"/>
    <w:rsid w:val="00826513"/>
    <w:rsid w:val="0086470E"/>
    <w:rsid w:val="00875286"/>
    <w:rsid w:val="008D3258"/>
    <w:rsid w:val="00906816"/>
    <w:rsid w:val="00934A86"/>
    <w:rsid w:val="0094329B"/>
    <w:rsid w:val="009716F3"/>
    <w:rsid w:val="00987C21"/>
    <w:rsid w:val="009B1D9A"/>
    <w:rsid w:val="009C0B6A"/>
    <w:rsid w:val="009C5BB2"/>
    <w:rsid w:val="009F7449"/>
    <w:rsid w:val="00A351D0"/>
    <w:rsid w:val="00A35884"/>
    <w:rsid w:val="00A6552F"/>
    <w:rsid w:val="00A70385"/>
    <w:rsid w:val="00A94BC1"/>
    <w:rsid w:val="00AE069D"/>
    <w:rsid w:val="00AE2CF1"/>
    <w:rsid w:val="00B170C1"/>
    <w:rsid w:val="00B212A5"/>
    <w:rsid w:val="00C26F56"/>
    <w:rsid w:val="00C3529A"/>
    <w:rsid w:val="00C35B2C"/>
    <w:rsid w:val="00C453C9"/>
    <w:rsid w:val="00C465C6"/>
    <w:rsid w:val="00C92F3D"/>
    <w:rsid w:val="00CF3435"/>
    <w:rsid w:val="00D14210"/>
    <w:rsid w:val="00D1426D"/>
    <w:rsid w:val="00D3381D"/>
    <w:rsid w:val="00D936E2"/>
    <w:rsid w:val="00DE097E"/>
    <w:rsid w:val="00DF43D6"/>
    <w:rsid w:val="00E12952"/>
    <w:rsid w:val="00E240AF"/>
    <w:rsid w:val="00E556EE"/>
    <w:rsid w:val="00E85A05"/>
    <w:rsid w:val="00E875A8"/>
    <w:rsid w:val="00EA52D3"/>
    <w:rsid w:val="00EA5866"/>
    <w:rsid w:val="00ED377F"/>
    <w:rsid w:val="00EE19DD"/>
    <w:rsid w:val="00EE2592"/>
    <w:rsid w:val="00F009C3"/>
    <w:rsid w:val="00F075E9"/>
    <w:rsid w:val="00F54BE5"/>
    <w:rsid w:val="00F75C1A"/>
    <w:rsid w:val="00F837CB"/>
    <w:rsid w:val="00F85F48"/>
    <w:rsid w:val="00FA47F5"/>
    <w:rsid w:val="00FD18CF"/>
    <w:rsid w:val="00FE51DF"/>
    <w:rsid w:val="00FF3C51"/>
    <w:rsid w:val="01F2DE1B"/>
    <w:rsid w:val="020DAC04"/>
    <w:rsid w:val="0395F3A1"/>
    <w:rsid w:val="03DE0AE4"/>
    <w:rsid w:val="05C45693"/>
    <w:rsid w:val="071D2F80"/>
    <w:rsid w:val="079B0E69"/>
    <w:rsid w:val="07C60DB8"/>
    <w:rsid w:val="07D11667"/>
    <w:rsid w:val="07F293B0"/>
    <w:rsid w:val="091C3E69"/>
    <w:rsid w:val="0AC39F63"/>
    <w:rsid w:val="0C3704CE"/>
    <w:rsid w:val="0CDD90E1"/>
    <w:rsid w:val="0D5B4C17"/>
    <w:rsid w:val="0E9BB929"/>
    <w:rsid w:val="110F5FB1"/>
    <w:rsid w:val="13616FE9"/>
    <w:rsid w:val="172970DC"/>
    <w:rsid w:val="187A5EA5"/>
    <w:rsid w:val="1993634F"/>
    <w:rsid w:val="1A926CCC"/>
    <w:rsid w:val="1AD1B92A"/>
    <w:rsid w:val="1C572671"/>
    <w:rsid w:val="1D149E56"/>
    <w:rsid w:val="1D942781"/>
    <w:rsid w:val="1E70ED07"/>
    <w:rsid w:val="1ECF3E57"/>
    <w:rsid w:val="1FBE3316"/>
    <w:rsid w:val="1FDAE339"/>
    <w:rsid w:val="208CE860"/>
    <w:rsid w:val="22BEF98F"/>
    <w:rsid w:val="2573F272"/>
    <w:rsid w:val="2861D4F8"/>
    <w:rsid w:val="28D60324"/>
    <w:rsid w:val="28EF20CD"/>
    <w:rsid w:val="2B3647B2"/>
    <w:rsid w:val="2B70EA94"/>
    <w:rsid w:val="2C282F3E"/>
    <w:rsid w:val="2E08D97E"/>
    <w:rsid w:val="2EBE743F"/>
    <w:rsid w:val="2F377B04"/>
    <w:rsid w:val="2FA99770"/>
    <w:rsid w:val="30569C4F"/>
    <w:rsid w:val="3097FE69"/>
    <w:rsid w:val="3296A63A"/>
    <w:rsid w:val="33248470"/>
    <w:rsid w:val="33D50078"/>
    <w:rsid w:val="34BAE71B"/>
    <w:rsid w:val="37DC32F0"/>
    <w:rsid w:val="37E93974"/>
    <w:rsid w:val="398E583E"/>
    <w:rsid w:val="39CA4B83"/>
    <w:rsid w:val="3B4999BD"/>
    <w:rsid w:val="3C402E6F"/>
    <w:rsid w:val="3CC05967"/>
    <w:rsid w:val="3E4C98D5"/>
    <w:rsid w:val="3FD03ED6"/>
    <w:rsid w:val="41BC350B"/>
    <w:rsid w:val="421C180E"/>
    <w:rsid w:val="4297CCBB"/>
    <w:rsid w:val="42A30B62"/>
    <w:rsid w:val="4358056C"/>
    <w:rsid w:val="43E282DF"/>
    <w:rsid w:val="43F7B5D4"/>
    <w:rsid w:val="44CAD3D4"/>
    <w:rsid w:val="4550D596"/>
    <w:rsid w:val="45CDE858"/>
    <w:rsid w:val="45EB1671"/>
    <w:rsid w:val="467282BD"/>
    <w:rsid w:val="469778E1"/>
    <w:rsid w:val="475E8318"/>
    <w:rsid w:val="479C899B"/>
    <w:rsid w:val="49269E02"/>
    <w:rsid w:val="492931BF"/>
    <w:rsid w:val="4A1B8FE5"/>
    <w:rsid w:val="4ADEF56C"/>
    <w:rsid w:val="4C1AE6FF"/>
    <w:rsid w:val="4C2586A4"/>
    <w:rsid w:val="4DD30CFA"/>
    <w:rsid w:val="4EA4FB96"/>
    <w:rsid w:val="4F95DF86"/>
    <w:rsid w:val="533D4B3C"/>
    <w:rsid w:val="537616BC"/>
    <w:rsid w:val="55E09919"/>
    <w:rsid w:val="56B58C38"/>
    <w:rsid w:val="578FB6D3"/>
    <w:rsid w:val="57A0777B"/>
    <w:rsid w:val="58E1A6D3"/>
    <w:rsid w:val="5A91BD5E"/>
    <w:rsid w:val="5D472CF9"/>
    <w:rsid w:val="5DF70B8D"/>
    <w:rsid w:val="5F43882D"/>
    <w:rsid w:val="5FDFBF68"/>
    <w:rsid w:val="60BC2120"/>
    <w:rsid w:val="63FAB0F7"/>
    <w:rsid w:val="64604174"/>
    <w:rsid w:val="64664D11"/>
    <w:rsid w:val="69EA2867"/>
    <w:rsid w:val="6B4AEBCC"/>
    <w:rsid w:val="6C134F45"/>
    <w:rsid w:val="6E0DB762"/>
    <w:rsid w:val="6E9EFA53"/>
    <w:rsid w:val="6EF2B668"/>
    <w:rsid w:val="6F673CF1"/>
    <w:rsid w:val="7257D21F"/>
    <w:rsid w:val="73D2385E"/>
    <w:rsid w:val="76498E63"/>
    <w:rsid w:val="7709D920"/>
    <w:rsid w:val="788EAC33"/>
    <w:rsid w:val="78A5A981"/>
    <w:rsid w:val="78AFC11B"/>
    <w:rsid w:val="793BFC5C"/>
    <w:rsid w:val="7A2A7C94"/>
    <w:rsid w:val="7A4B917C"/>
    <w:rsid w:val="7BC64CF5"/>
    <w:rsid w:val="7BE761DD"/>
    <w:rsid w:val="7C5D753B"/>
    <w:rsid w:val="7DAF0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BB929"/>
  <w15:chartTrackingRefBased/>
  <w15:docId w15:val="{30DB97B4-A312-449B-B106-CEAE7EFC3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364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364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958F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936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9364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6147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47CA"/>
  </w:style>
  <w:style w:type="paragraph" w:styleId="Footer">
    <w:name w:val="footer"/>
    <w:basedOn w:val="Normal"/>
    <w:link w:val="FooterChar"/>
    <w:uiPriority w:val="99"/>
    <w:unhideWhenUsed/>
    <w:rsid w:val="006147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7CA"/>
  </w:style>
  <w:style w:type="character" w:styleId="FollowedHyperlink">
    <w:name w:val="FollowedHyperlink"/>
    <w:basedOn w:val="DefaultParagraphFont"/>
    <w:uiPriority w:val="99"/>
    <w:semiHidden/>
    <w:unhideWhenUsed/>
    <w:rsid w:val="006147C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EE19DD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36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36E2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0407E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5125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958F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D18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dol.gov/sites/dolgov/files/ETA/grants/pdfs/Closeout%20FAQs%20Revised_April%202023.pdf" TargetMode="External"/><Relationship Id="rId18" Type="http://schemas.openxmlformats.org/officeDocument/2006/relationships/hyperlink" Target="https://pmsapp.psc.gov/pms/app/login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www.workforcegps.org/events/2022/12/16/16/30/What-to-Expect-in-the-Final-Year-of-Your-Grant" TargetMode="External"/><Relationship Id="rId17" Type="http://schemas.openxmlformats.org/officeDocument/2006/relationships/hyperlink" Target="https://home.grantsolutions.gov/home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ecfr.gov/current/title-2/subtitle-A/chapter-II/part-200/subpart-D/subject-group-ECFR682eb6fbfabcde2/section-200.344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d2leuf3vilid4d.cloudfront.net/-/media/Global-Site/Content/ETA-Webinars/2023/01-January/What-To-Expect-Final-Year-of-Your-Grant/SATAGrantWrapUpPriorityMatrix_20230123_fillable_508.ashx?rev=1cb4f6a73541406ea913a12207d416db&amp;hash=CEF846410F879A51C029EE73DA77FA9B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workforcegps.org/events/2023/03/24/17/37/Closing-Out-Your-USDOL-Grant" TargetMode="External"/><Relationship Id="rId23" Type="http://schemas.microsoft.com/office/2020/10/relationships/intelligence" Target="intelligence2.xml"/><Relationship Id="rId10" Type="http://schemas.openxmlformats.org/officeDocument/2006/relationships/hyperlink" Target="https://d2leuf3vilid4d.cloudfront.net/-/media/Global-Site/Content/ETA-Webinars/2023/01-January/What-To-Expect-Final-Year-of-Your-Grant/SATAWrapUpResourceChecklist_20230123_508.ashx?rev=e03ed23d4a0449119da1d77c4ec09135&amp;hash=B91E0F093BBB6037178E0BC3D8047E28" TargetMode="External"/><Relationship Id="rId19" Type="http://schemas.openxmlformats.org/officeDocument/2006/relationships/hyperlink" Target="https://jobcorpscareers.workforcegps.org/resources/2021/11/10/21/09/Grantee-Handboo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dol.gov/agencies/eta/advisories/tegl-12-22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a045569c-852c-4728-97ba-6a34c0832149">
      <Terms xmlns="http://schemas.microsoft.com/office/infopath/2007/PartnerControls"/>
    </lcf76f155ced4ddcb4097134ff3c332f>
    <_ip_UnifiedCompliancePolicyProperties xmlns="http://schemas.microsoft.com/sharepoint/v3" xsi:nil="true"/>
    <TaxCatchAll xmlns="72bc99b7-ab69-4252-8ce8-2b0f2d55b09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9F574A3AC15E4DBA146DB87C2FCBA5" ma:contentTypeVersion="22" ma:contentTypeDescription="Create a new document." ma:contentTypeScope="" ma:versionID="4cbbefbcc1220dfdad7a46a6e720f742">
  <xsd:schema xmlns:xsd="http://www.w3.org/2001/XMLSchema" xmlns:xs="http://www.w3.org/2001/XMLSchema" xmlns:p="http://schemas.microsoft.com/office/2006/metadata/properties" xmlns:ns1="http://schemas.microsoft.com/sharepoint/v3" xmlns:ns2="72bc99b7-ab69-4252-8ce8-2b0f2d55b091" xmlns:ns3="a045569c-852c-4728-97ba-6a34c0832149" targetNamespace="http://schemas.microsoft.com/office/2006/metadata/properties" ma:root="true" ma:fieldsID="8022cd26773bb1761168cc7bbe559943" ns1:_="" ns2:_="" ns3:_="">
    <xsd:import namespace="http://schemas.microsoft.com/sharepoint/v3"/>
    <xsd:import namespace="72bc99b7-ab69-4252-8ce8-2b0f2d55b091"/>
    <xsd:import namespace="a045569c-852c-4728-97ba-6a34c083214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2:TaxCatchAll" minOccurs="0"/>
                <xsd:element ref="ns3:lcf76f155ced4ddcb4097134ff3c332f" minOccurs="0"/>
                <xsd:element ref="ns3:MediaLengthInSeconds" minOccurs="0"/>
                <xsd:element ref="ns3:MediaServiceLocation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c99b7-ab69-4252-8ce8-2b0f2d55b0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3678716-a829-478f-8498-c17148d5a09f}" ma:internalName="TaxCatchAll" ma:showField="CatchAllData" ma:web="72bc99b7-ab69-4252-8ce8-2b0f2d55b0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45569c-852c-4728-97ba-6a34c08321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11b832a3-9399-4a86-9e0f-2408db29f1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58EAC6-EAE6-45F6-9500-BEA54ACEC273}">
  <ds:schemaRefs>
    <ds:schemaRef ds:uri="http://schemas.microsoft.com/sharepoint/v3"/>
    <ds:schemaRef ds:uri="http://purl.org/dc/elements/1.1/"/>
    <ds:schemaRef ds:uri="http://purl.org/dc/terms/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a045569c-852c-4728-97ba-6a34c0832149"/>
    <ds:schemaRef ds:uri="72bc99b7-ab69-4252-8ce8-2b0f2d55b091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1E82514-9C78-4F30-BA0C-4B690BA68E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C61153-E4CF-49C6-8EF4-347C40B753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2bc99b7-ab69-4252-8ce8-2b0f2d55b091"/>
    <ds:schemaRef ds:uri="a045569c-852c-4728-97ba-6a34c08321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760</Words>
  <Characters>4338</Characters>
  <Application>Microsoft Office Word</Application>
  <DocSecurity>0</DocSecurity>
  <Lines>36</Lines>
  <Paragraphs>10</Paragraphs>
  <ScaleCrop>false</ScaleCrop>
  <Company/>
  <LinksUpToDate>false</LinksUpToDate>
  <CharactersWithSpaces>5088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Connor Kelly</dc:creator>
  <cp:keywords/>
  <dc:description/>
  <cp:lastModifiedBy>Connor Kelly</cp:lastModifiedBy>
  <cp:revision>2</cp:revision>
  <dcterms:created xsi:type="dcterms:W3CDTF">2023-09-21T16:13:00Z</dcterms:created>
  <dcterms:modified xsi:type="dcterms:W3CDTF">2023-09-21T16:13:00Z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0x010100309F574A3AC15E4DBA146DB87C2FCBA5</vt:lpwstr>
  </property>
  <property fmtid="{D5CDD505-2E9C-101B-9397-08002B2CF9AE}" pid="3" name="MediaServiceImageTags">
    <vt:lpwstr/>
  </property>
  <property fmtid="{D5CDD505-2E9C-101B-9397-08002B2CF9AE}" pid="4" name="GrammarlyDocumentId">
    <vt:lpwstr>a01b6835d05f88490e0e345cc7a90d9c2c80ce42ede8497cd134e3e849c17995</vt:lpwstr>
  </property>
</Properties>
</file>