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C50FB" w14:textId="3379FD0C" w:rsidR="00315F9A" w:rsidRDefault="00561BC6">
      <w:r>
        <w:t>Pay for Performance (PFP) An Opportunity for Innovation and Better Outcomes Webcast Transcript</w:t>
      </w:r>
    </w:p>
    <w:p w14:paraId="62F49E33" w14:textId="77777777" w:rsidR="00561BC6" w:rsidRDefault="00561BC6">
      <w:r>
        <w:t>Speakers:</w:t>
      </w:r>
    </w:p>
    <w:p w14:paraId="756D1651" w14:textId="5D65E6C3" w:rsidR="00561BC6" w:rsidRDefault="00561BC6">
      <w:r>
        <w:t>Sara Hastings – Unit Chief, Office of Workforce Investment, DOL, ETA</w:t>
      </w:r>
    </w:p>
    <w:p w14:paraId="759BC2E3" w14:textId="5C470999" w:rsidR="00561BC6" w:rsidRDefault="00561BC6">
      <w:r>
        <w:t>Kim Vitelli – Administrator, Office of Workforce Investment, DOL, ETA</w:t>
      </w:r>
    </w:p>
    <w:p w14:paraId="3A8072C3" w14:textId="4C343363" w:rsidR="00561BC6" w:rsidRDefault="00561BC6">
      <w:r>
        <w:t>Slide 1:</w:t>
      </w:r>
    </w:p>
    <w:p w14:paraId="5E9AE22C" w14:textId="76447574" w:rsidR="00561BC6" w:rsidRDefault="00561BC6">
      <w:r w:rsidRPr="00561BC6">
        <w:t xml:space="preserve">Hello! Welcome to the webcast Pay for Performance, an opportunity for innovation and better outcomes. This webcast provides an overview of Pay for Performance guidance that is outlined in TEGL 8-20 </w:t>
      </w:r>
      <w:proofErr w:type="gramStart"/>
      <w:r w:rsidRPr="00561BC6">
        <w:t>–  Pay</w:t>
      </w:r>
      <w:proofErr w:type="gramEnd"/>
      <w:r w:rsidRPr="00561BC6">
        <w:t xml:space="preserve"> for Performance (PFP) Guidance for WIOA title I, subtitle B</w:t>
      </w:r>
    </w:p>
    <w:p w14:paraId="1682C0C5" w14:textId="3B5AD329" w:rsidR="00561BC6" w:rsidRDefault="00561BC6">
      <w:r>
        <w:t>Slide 2:</w:t>
      </w:r>
    </w:p>
    <w:p w14:paraId="562ED5A0" w14:textId="77777777" w:rsidR="00561BC6" w:rsidRPr="00561BC6" w:rsidRDefault="00561BC6" w:rsidP="00561BC6">
      <w:r w:rsidRPr="00561BC6">
        <w:t xml:space="preserve">My name is Sara Hastings…and I am the acting unit chief in the division of adult services and governance, within the Office of Workforce Investment at the Department of Labor and I will be walking you through the Pay for Performance guidance that the Department published in December 2020. </w:t>
      </w:r>
    </w:p>
    <w:p w14:paraId="5DC62EF8" w14:textId="77777777" w:rsidR="00561BC6" w:rsidRPr="00561BC6" w:rsidRDefault="00561BC6" w:rsidP="00561BC6">
      <w:r w:rsidRPr="00561BC6">
        <w:t xml:space="preserve">First, you will be hearing from Kim Vitelli, Administrator of the Office of Workforce Investment who will be providing you with a high-level overview of Pay for Performance and why it may be a beneficial workforce development contracting strategy to help achieve better outcomes for the customers you serve. </w:t>
      </w:r>
    </w:p>
    <w:p w14:paraId="1704C3C0" w14:textId="77777777" w:rsidR="00561BC6" w:rsidRPr="00561BC6" w:rsidRDefault="00561BC6" w:rsidP="00561BC6">
      <w:r w:rsidRPr="00561BC6">
        <w:t xml:space="preserve">I will now turn it over to Kim to walk us through the agenda and to provide us an overview. Kim? </w:t>
      </w:r>
    </w:p>
    <w:p w14:paraId="266394A7" w14:textId="397980C2" w:rsidR="00561BC6" w:rsidRDefault="00561BC6">
      <w:r>
        <w:t>Slide 3:</w:t>
      </w:r>
    </w:p>
    <w:p w14:paraId="767B6922" w14:textId="77777777" w:rsidR="00561BC6" w:rsidRPr="00561BC6" w:rsidRDefault="00561BC6" w:rsidP="00561BC6">
      <w:r w:rsidRPr="00561BC6">
        <w:t>Kim:  Thank you Sara –</w:t>
      </w:r>
      <w:r w:rsidRPr="00561BC6">
        <w:rPr>
          <w:i/>
          <w:iCs/>
        </w:rPr>
        <w:t xml:space="preserve"> add any personal greetings, comments on PFP context</w:t>
      </w:r>
      <w:proofErr w:type="gramStart"/>
      <w:r w:rsidRPr="00561BC6">
        <w:rPr>
          <w:i/>
          <w:iCs/>
        </w:rPr>
        <w:t>…..</w:t>
      </w:r>
      <w:proofErr w:type="gramEnd"/>
    </w:p>
    <w:p w14:paraId="777D3ADA" w14:textId="77777777" w:rsidR="00561BC6" w:rsidRPr="00561BC6" w:rsidRDefault="00561BC6" w:rsidP="00561BC6">
      <w:r w:rsidRPr="00561BC6">
        <w:t>We want to provide you with an easy to digest overview of Pay for Performance, how it can encourage better outcomes for State and local efforts to enhance services to disadvantaged populations and other populations and additional details about implementation and funding options. The information we are covering today, as Sara mentioned, is contained in TEGL 8-20. We encourage you to review the 3 TEGL attachments that go into greater detail about:</w:t>
      </w:r>
    </w:p>
    <w:p w14:paraId="1A47C6FE" w14:textId="77777777" w:rsidR="00561BC6" w:rsidRPr="00561BC6" w:rsidRDefault="00561BC6" w:rsidP="00561BC6">
      <w:pPr>
        <w:numPr>
          <w:ilvl w:val="0"/>
          <w:numId w:val="1"/>
        </w:numPr>
      </w:pPr>
      <w:r w:rsidRPr="00561BC6">
        <w:t>Pay for Performance Guidance</w:t>
      </w:r>
    </w:p>
    <w:p w14:paraId="4EA9B33F" w14:textId="77777777" w:rsidR="00561BC6" w:rsidRPr="00561BC6" w:rsidRDefault="00561BC6" w:rsidP="00561BC6">
      <w:pPr>
        <w:numPr>
          <w:ilvl w:val="0"/>
          <w:numId w:val="1"/>
        </w:numPr>
      </w:pPr>
      <w:r w:rsidRPr="00561BC6">
        <w:t>Summary of Selected Major Federal, State, and Local PFP Roles Under WIOA, and</w:t>
      </w:r>
    </w:p>
    <w:p w14:paraId="5F4E61D5" w14:textId="77777777" w:rsidR="00561BC6" w:rsidRPr="00561BC6" w:rsidRDefault="00561BC6" w:rsidP="00561BC6">
      <w:pPr>
        <w:numPr>
          <w:ilvl w:val="0"/>
          <w:numId w:val="1"/>
        </w:numPr>
      </w:pPr>
      <w:r w:rsidRPr="00561BC6">
        <w:t>How the Extended Disbursement Account functions</w:t>
      </w:r>
    </w:p>
    <w:p w14:paraId="5D0C2270" w14:textId="77777777" w:rsidR="00561BC6" w:rsidRPr="00561BC6" w:rsidRDefault="00561BC6" w:rsidP="00561BC6">
      <w:r w:rsidRPr="00561BC6">
        <w:t xml:space="preserve">We will walk through local and state roles, the steps you can take to implement a PFP model and how PFP funding works. </w:t>
      </w:r>
    </w:p>
    <w:p w14:paraId="3591F868" w14:textId="77777777" w:rsidR="00561BC6" w:rsidRPr="00561BC6" w:rsidRDefault="00561BC6" w:rsidP="00561BC6">
      <w:proofErr w:type="gramStart"/>
      <w:r w:rsidRPr="00561BC6">
        <w:t>So</w:t>
      </w:r>
      <w:proofErr w:type="gramEnd"/>
      <w:r w:rsidRPr="00561BC6">
        <w:t xml:space="preserve"> let’s get started</w:t>
      </w:r>
    </w:p>
    <w:p w14:paraId="054D66C6" w14:textId="74D3ACDE" w:rsidR="00561BC6" w:rsidRDefault="00561BC6">
      <w:r>
        <w:t>Slide 4:</w:t>
      </w:r>
    </w:p>
    <w:p w14:paraId="1F3A1FD8" w14:textId="77777777" w:rsidR="00561BC6" w:rsidRPr="00561BC6" w:rsidRDefault="00561BC6" w:rsidP="00561BC6">
      <w:r w:rsidRPr="00561BC6">
        <w:t xml:space="preserve">Before we get into the implantation details of PFP, first </w:t>
      </w:r>
      <w:proofErr w:type="gramStart"/>
      <w:r w:rsidRPr="00561BC6">
        <w:t>let’s</w:t>
      </w:r>
      <w:proofErr w:type="gramEnd"/>
      <w:r w:rsidRPr="00561BC6">
        <w:t xml:space="preserve"> review what PFP is…….</w:t>
      </w:r>
    </w:p>
    <w:p w14:paraId="779BC4BE" w14:textId="7C515DF8" w:rsidR="00561BC6" w:rsidRDefault="00561BC6">
      <w:r>
        <w:t>Slide 5:</w:t>
      </w:r>
    </w:p>
    <w:p w14:paraId="0EB0AC02" w14:textId="77777777" w:rsidR="00561BC6" w:rsidRPr="00561BC6" w:rsidRDefault="00561BC6" w:rsidP="00561BC6">
      <w:r w:rsidRPr="00561BC6">
        <w:lastRenderedPageBreak/>
        <w:t>Simply put, PFP is a contracting strategy where a state or local can make payments to providers only when performance outcomes are met. This strategy directs funding to employment service contractors while allowing greater flexibility in negotiating outcomes based on the state or local workforce needs. We will discuss the parameters in more detail, but one nice advantage of PFP is that the WIOA funds that are set aside for PFP contracts remain available beyond the two-year limit.</w:t>
      </w:r>
    </w:p>
    <w:p w14:paraId="2AC38306" w14:textId="77777777" w:rsidR="00561BC6" w:rsidRPr="00561BC6" w:rsidRDefault="00561BC6" w:rsidP="00561BC6">
      <w:r w:rsidRPr="00561BC6">
        <w:t xml:space="preserve">Other advantages for PFP contracts include: </w:t>
      </w:r>
    </w:p>
    <w:p w14:paraId="29863CCC" w14:textId="77777777" w:rsidR="00561BC6" w:rsidRPr="00561BC6" w:rsidRDefault="00561BC6" w:rsidP="00561BC6">
      <w:pPr>
        <w:numPr>
          <w:ilvl w:val="0"/>
          <w:numId w:val="2"/>
        </w:numPr>
      </w:pPr>
      <w:r w:rsidRPr="00561BC6">
        <w:t>An increased flexibility for establishing and ensuring that positive performance outcomes are achieved, since it is only upon completion and validation of these outcomes that payments are issued.</w:t>
      </w:r>
    </w:p>
    <w:p w14:paraId="1DD719C1" w14:textId="77777777" w:rsidR="00561BC6" w:rsidRPr="00561BC6" w:rsidRDefault="00561BC6" w:rsidP="00561BC6">
      <w:pPr>
        <w:numPr>
          <w:ilvl w:val="0"/>
          <w:numId w:val="2"/>
        </w:numPr>
      </w:pPr>
      <w:r w:rsidRPr="00561BC6">
        <w:t xml:space="preserve">PFP contracts can be used to set aside, up to but not more than 10 percent, </w:t>
      </w:r>
      <w:proofErr w:type="gramStart"/>
      <w:r w:rsidRPr="00561BC6">
        <w:t>of  WIOA</w:t>
      </w:r>
      <w:proofErr w:type="gramEnd"/>
      <w:r w:rsidRPr="00561BC6">
        <w:t xml:space="preserve"> formula allocations to incentivize services to target adults, dislocated workers and youth.</w:t>
      </w:r>
    </w:p>
    <w:p w14:paraId="6003CB11" w14:textId="77777777" w:rsidR="00561BC6" w:rsidRPr="00561BC6" w:rsidRDefault="00561BC6" w:rsidP="00561BC6">
      <w:pPr>
        <w:numPr>
          <w:ilvl w:val="0"/>
          <w:numId w:val="2"/>
        </w:numPr>
      </w:pPr>
      <w:r w:rsidRPr="00561BC6">
        <w:t>The PFP set aside funds will not expire if not paid out and remain until expended.</w:t>
      </w:r>
    </w:p>
    <w:p w14:paraId="0C922FBC" w14:textId="77777777" w:rsidR="00561BC6" w:rsidRPr="00561BC6" w:rsidRDefault="00561BC6" w:rsidP="00561BC6">
      <w:r w:rsidRPr="00561BC6">
        <w:t xml:space="preserve">We will explore many of these benefits in more detail during the webcast, but for now </w:t>
      </w:r>
      <w:proofErr w:type="gramStart"/>
      <w:r w:rsidRPr="00561BC6">
        <w:t>let’s</w:t>
      </w:r>
      <w:proofErr w:type="gramEnd"/>
      <w:r w:rsidRPr="00561BC6">
        <w:t xml:space="preserve"> look at the types of PFP activities.</w:t>
      </w:r>
    </w:p>
    <w:p w14:paraId="588EE4AF" w14:textId="7D5227D2" w:rsidR="00561BC6" w:rsidRDefault="00561BC6">
      <w:r>
        <w:t>Slide 6:</w:t>
      </w:r>
    </w:p>
    <w:p w14:paraId="2A6662BC" w14:textId="77777777" w:rsidR="00561BC6" w:rsidRPr="00561BC6" w:rsidRDefault="00561BC6" w:rsidP="00561BC6">
      <w:r w:rsidRPr="00561BC6">
        <w:t>WIOA authorizes, and ETA encourages, local WDBs to reserve up to 10 percent of the local allocation for WIOA title I Adult, Dislocated Worker, and Youth formula funds for PFP contract strategies.  In a later slide we will show you the types of services PFP can be used with each targeted population.</w:t>
      </w:r>
    </w:p>
    <w:p w14:paraId="34E6A216" w14:textId="77777777" w:rsidR="00561BC6" w:rsidRPr="00561BC6" w:rsidRDefault="00561BC6" w:rsidP="00561BC6">
      <w:r w:rsidRPr="00561BC6">
        <w:t xml:space="preserve">When we talk about PFP, there are </w:t>
      </w:r>
      <w:proofErr w:type="gramStart"/>
      <w:r w:rsidRPr="00561BC6">
        <w:t>actually two</w:t>
      </w:r>
      <w:proofErr w:type="gramEnd"/>
      <w:r w:rsidRPr="00561BC6">
        <w:t xml:space="preserve"> types of PFP activities – PFP contracting strategies and PFP-related activities.</w:t>
      </w:r>
    </w:p>
    <w:p w14:paraId="0EE4ED07" w14:textId="77777777" w:rsidR="00561BC6" w:rsidRPr="00561BC6" w:rsidRDefault="00561BC6" w:rsidP="00561BC6">
      <w:r w:rsidRPr="00561BC6">
        <w:rPr>
          <w:b/>
          <w:bCs/>
        </w:rPr>
        <w:t xml:space="preserve">PFP contracting strategies </w:t>
      </w:r>
      <w:r w:rsidRPr="00561BC6">
        <w:t>include contracts for activities listed in the WIOA definition to provide training services. These contracts include:</w:t>
      </w:r>
    </w:p>
    <w:p w14:paraId="7F65E082" w14:textId="77777777" w:rsidR="00561BC6" w:rsidRPr="00561BC6" w:rsidRDefault="00561BC6" w:rsidP="00561BC6">
      <w:pPr>
        <w:numPr>
          <w:ilvl w:val="0"/>
          <w:numId w:val="3"/>
        </w:numPr>
      </w:pPr>
      <w:r w:rsidRPr="00561BC6">
        <w:t>An agreement that a fixed amount will be paid to an eligible provider based on the achievement of specific levels of performance based on primary indicators of performance for target populations.</w:t>
      </w:r>
    </w:p>
    <w:p w14:paraId="0262D98F" w14:textId="77777777" w:rsidR="00561BC6" w:rsidRPr="00561BC6" w:rsidRDefault="00561BC6" w:rsidP="00561BC6">
      <w:pPr>
        <w:numPr>
          <w:ilvl w:val="0"/>
          <w:numId w:val="3"/>
        </w:numPr>
      </w:pPr>
      <w:r w:rsidRPr="00561BC6">
        <w:t>A contract will also include a strategy for independent validation of the achievement of performance.</w:t>
      </w:r>
    </w:p>
    <w:p w14:paraId="25410005" w14:textId="77777777" w:rsidR="00561BC6" w:rsidRPr="00561BC6" w:rsidRDefault="00561BC6" w:rsidP="00561BC6">
      <w:pPr>
        <w:numPr>
          <w:ilvl w:val="0"/>
          <w:numId w:val="3"/>
        </w:numPr>
      </w:pPr>
      <w:r w:rsidRPr="00561BC6">
        <w:t xml:space="preserve">And finally, a contract includes a description of how the State and local area will reallocate funds not paid to a provider because they did not achieve the expected performance outcomes as described in the </w:t>
      </w:r>
      <w:proofErr w:type="gramStart"/>
      <w:r w:rsidRPr="00561BC6">
        <w:t>PFP</w:t>
      </w:r>
      <w:proofErr w:type="gramEnd"/>
    </w:p>
    <w:p w14:paraId="49AA74B8" w14:textId="77777777" w:rsidR="00561BC6" w:rsidRPr="00561BC6" w:rsidRDefault="00561BC6" w:rsidP="00561BC6">
      <w:r w:rsidRPr="00561BC6">
        <w:t>Local boards have the discretion to reserve local funds to pay for PFP contract strategies and these activities are subject to the 10 percent limitation described in the TEGL.</w:t>
      </w:r>
    </w:p>
    <w:p w14:paraId="2B4C8A77" w14:textId="77777777" w:rsidR="00561BC6" w:rsidRPr="00561BC6" w:rsidRDefault="00561BC6" w:rsidP="00561BC6">
      <w:r w:rsidRPr="00561BC6">
        <w:rPr>
          <w:b/>
          <w:bCs/>
        </w:rPr>
        <w:t xml:space="preserve">PFP-related activities </w:t>
      </w:r>
      <w:r w:rsidRPr="00561BC6">
        <w:t xml:space="preserve">include additional State and local activities related to PFP contracting </w:t>
      </w:r>
      <w:proofErr w:type="gramStart"/>
      <w:r w:rsidRPr="00561BC6">
        <w:t>strategies, but</w:t>
      </w:r>
      <w:proofErr w:type="gramEnd"/>
      <w:r w:rsidRPr="00561BC6">
        <w:t xml:space="preserve"> are not the contract itself. The activities include feasibility studies, technical assistance, and PFP evaluations.  </w:t>
      </w:r>
    </w:p>
    <w:p w14:paraId="3268C5FB" w14:textId="77777777" w:rsidR="00561BC6" w:rsidRPr="00561BC6" w:rsidRDefault="00561BC6" w:rsidP="00561BC6">
      <w:pPr>
        <w:numPr>
          <w:ilvl w:val="0"/>
          <w:numId w:val="4"/>
        </w:numPr>
      </w:pPr>
      <w:r w:rsidRPr="00561BC6">
        <w:t>Note that these may occur before a formal PFP contract exists and that,</w:t>
      </w:r>
    </w:p>
    <w:p w14:paraId="78800459" w14:textId="77777777" w:rsidR="00561BC6" w:rsidRPr="00561BC6" w:rsidRDefault="00561BC6" w:rsidP="00561BC6">
      <w:pPr>
        <w:numPr>
          <w:ilvl w:val="0"/>
          <w:numId w:val="4"/>
        </w:numPr>
      </w:pPr>
      <w:r w:rsidRPr="00561BC6">
        <w:lastRenderedPageBreak/>
        <w:t xml:space="preserve">PFP-related activities cannot be paid for with the PFP funds that are reserved for the contract. They can be paid for with local funds.  </w:t>
      </w:r>
    </w:p>
    <w:p w14:paraId="53CE9AB9" w14:textId="363AC99E" w:rsidR="00561BC6" w:rsidRDefault="00561BC6">
      <w:r>
        <w:t>Slide 7:</w:t>
      </w:r>
    </w:p>
    <w:p w14:paraId="5A078F4F" w14:textId="77777777" w:rsidR="00561BC6" w:rsidRPr="00561BC6" w:rsidRDefault="00561BC6" w:rsidP="00561BC6">
      <w:r w:rsidRPr="00561BC6">
        <w:t>Sara will now walk us through more specific details about Pay for Performance as outlined in the TEGL Attachments starting with Local and State Roles.</w:t>
      </w:r>
    </w:p>
    <w:p w14:paraId="08557863" w14:textId="6BCCBCD9" w:rsidR="00561BC6" w:rsidRDefault="00561BC6">
      <w:r>
        <w:t>Slide 8:</w:t>
      </w:r>
    </w:p>
    <w:p w14:paraId="6EB7D9E0" w14:textId="77777777" w:rsidR="00561BC6" w:rsidRPr="00561BC6" w:rsidRDefault="00561BC6" w:rsidP="00561BC6">
      <w:r w:rsidRPr="00561BC6">
        <w:t xml:space="preserve">Thank </w:t>
      </w:r>
      <w:proofErr w:type="gramStart"/>
      <w:r w:rsidRPr="00561BC6">
        <w:t>you Kim</w:t>
      </w:r>
      <w:proofErr w:type="gramEnd"/>
      <w:r w:rsidRPr="00561BC6">
        <w:t>:</w:t>
      </w:r>
    </w:p>
    <w:p w14:paraId="1E2E5DD0" w14:textId="77777777" w:rsidR="00561BC6" w:rsidRPr="00561BC6" w:rsidRDefault="00561BC6" w:rsidP="00561BC6">
      <w:r w:rsidRPr="00561BC6">
        <w:t>So, what does the guidance say about PFP and the role of local boards?</w:t>
      </w:r>
    </w:p>
    <w:p w14:paraId="73D1BCB7" w14:textId="77777777" w:rsidR="00561BC6" w:rsidRPr="00561BC6" w:rsidRDefault="00561BC6" w:rsidP="00561BC6">
      <w:pPr>
        <w:numPr>
          <w:ilvl w:val="0"/>
          <w:numId w:val="5"/>
        </w:numPr>
      </w:pPr>
      <w:r w:rsidRPr="00561BC6">
        <w:t>Since PFP contract strategies are an optional WIOA local activity, most of the decisions, policies, activities, and oversight of PFP will occur at the local level. As a result, most of this guidance for PFP implementation is offered for folks working at the local level.</w:t>
      </w:r>
    </w:p>
    <w:p w14:paraId="5041B59C" w14:textId="77777777" w:rsidR="00561BC6" w:rsidRPr="00561BC6" w:rsidRDefault="00561BC6" w:rsidP="00561BC6">
      <w:r w:rsidRPr="00561BC6">
        <w:t>To implement PFP, allowable activities that the local board may engage in include:</w:t>
      </w:r>
    </w:p>
    <w:p w14:paraId="03E108B4" w14:textId="77777777" w:rsidR="00561BC6" w:rsidRPr="00561BC6" w:rsidRDefault="00561BC6" w:rsidP="00561BC6">
      <w:pPr>
        <w:numPr>
          <w:ilvl w:val="0"/>
          <w:numId w:val="6"/>
        </w:numPr>
      </w:pPr>
      <w:r w:rsidRPr="00561BC6">
        <w:t>Reserving up to 10 percent of combined Adult and Dislocated Worker allocations or of the local Youth allocation.</w:t>
      </w:r>
    </w:p>
    <w:p w14:paraId="6B178B7F" w14:textId="77777777" w:rsidR="00561BC6" w:rsidRPr="00561BC6" w:rsidRDefault="00561BC6" w:rsidP="00561BC6">
      <w:pPr>
        <w:numPr>
          <w:ilvl w:val="0"/>
          <w:numId w:val="6"/>
        </w:numPr>
      </w:pPr>
      <w:r w:rsidRPr="00561BC6">
        <w:t>The local board also has the role of providing bonus payments to contractors who exceed agreed upon performance targets.</w:t>
      </w:r>
    </w:p>
    <w:p w14:paraId="014F8A7D" w14:textId="77777777" w:rsidR="00561BC6" w:rsidRPr="00561BC6" w:rsidRDefault="00561BC6" w:rsidP="00561BC6">
      <w:pPr>
        <w:numPr>
          <w:ilvl w:val="0"/>
          <w:numId w:val="6"/>
        </w:numPr>
      </w:pPr>
      <w:r w:rsidRPr="00561BC6">
        <w:t xml:space="preserve">The board can request and receive technical assistance from the </w:t>
      </w:r>
      <w:proofErr w:type="gramStart"/>
      <w:r w:rsidRPr="00561BC6">
        <w:t>state</w:t>
      </w:r>
      <w:proofErr w:type="gramEnd"/>
      <w:r w:rsidRPr="00561BC6">
        <w:t xml:space="preserve"> and it can also provide technical assistance to contract providers who wish to explore PFP, </w:t>
      </w:r>
    </w:p>
    <w:p w14:paraId="6380A0EB" w14:textId="77777777" w:rsidR="00561BC6" w:rsidRPr="00561BC6" w:rsidRDefault="00561BC6" w:rsidP="00561BC6">
      <w:pPr>
        <w:numPr>
          <w:ilvl w:val="0"/>
          <w:numId w:val="6"/>
        </w:numPr>
      </w:pPr>
      <w:r w:rsidRPr="00561BC6">
        <w:t>Also, the board can participate in planning the evaluation design.</w:t>
      </w:r>
    </w:p>
    <w:p w14:paraId="58AA4A76" w14:textId="77777777" w:rsidR="00561BC6" w:rsidRPr="00561BC6" w:rsidRDefault="00561BC6" w:rsidP="00561BC6">
      <w:r w:rsidRPr="00561BC6">
        <w:t>Finally, local areas share PFP design and performance data to the state for reporting to the Employment and Training Administration at the DOL.</w:t>
      </w:r>
    </w:p>
    <w:p w14:paraId="2875CAF8" w14:textId="05A43F31" w:rsidR="00561BC6" w:rsidRDefault="00561BC6">
      <w:r>
        <w:t>Slide 9:</w:t>
      </w:r>
    </w:p>
    <w:p w14:paraId="42DB0D15" w14:textId="77777777" w:rsidR="00561BC6" w:rsidRPr="00561BC6" w:rsidRDefault="00561BC6" w:rsidP="00561BC6">
      <w:r w:rsidRPr="00561BC6">
        <w:t xml:space="preserve">States have the same general authority over how PFP is structured within the state as they do for other WIOA activities. States play </w:t>
      </w:r>
      <w:proofErr w:type="gramStart"/>
      <w:r w:rsidRPr="00561BC6">
        <w:t>a  monitoring</w:t>
      </w:r>
      <w:proofErr w:type="gramEnd"/>
      <w:r w:rsidRPr="00561BC6">
        <w:t xml:space="preserve"> role and oversee WIOA activities, which includes any PFP contracts that may exist. </w:t>
      </w:r>
    </w:p>
    <w:p w14:paraId="6891C8E0" w14:textId="77777777" w:rsidR="00561BC6" w:rsidRPr="00561BC6" w:rsidRDefault="00561BC6" w:rsidP="00561BC6">
      <w:r w:rsidRPr="00561BC6">
        <w:t>If there is a PFP contract strategy in a state, the state must do the following:</w:t>
      </w:r>
    </w:p>
    <w:p w14:paraId="3BD428F2" w14:textId="77777777" w:rsidR="00561BC6" w:rsidRPr="00561BC6" w:rsidRDefault="00561BC6" w:rsidP="00561BC6">
      <w:pPr>
        <w:numPr>
          <w:ilvl w:val="0"/>
          <w:numId w:val="7"/>
        </w:numPr>
      </w:pPr>
      <w:r w:rsidRPr="00561BC6">
        <w:t>Collect and report to ETA:</w:t>
      </w:r>
    </w:p>
    <w:p w14:paraId="55339126" w14:textId="77777777" w:rsidR="00561BC6" w:rsidRPr="00561BC6" w:rsidRDefault="00561BC6" w:rsidP="00561BC6">
      <w:pPr>
        <w:numPr>
          <w:ilvl w:val="1"/>
          <w:numId w:val="7"/>
        </w:numPr>
      </w:pPr>
      <w:r w:rsidRPr="00561BC6">
        <w:t xml:space="preserve">The Participant-level data used to document that the PFP service providers met all performance requirements, and findings of any State and/or local evaluations of the PFP contract </w:t>
      </w:r>
      <w:proofErr w:type="gramStart"/>
      <w:r w:rsidRPr="00561BC6">
        <w:t>strategies</w:t>
      </w:r>
      <w:proofErr w:type="gramEnd"/>
      <w:r w:rsidRPr="00561BC6">
        <w:t xml:space="preserve"> </w:t>
      </w:r>
    </w:p>
    <w:p w14:paraId="3654325A" w14:textId="77777777" w:rsidR="00561BC6" w:rsidRPr="00561BC6" w:rsidRDefault="00561BC6" w:rsidP="00561BC6">
      <w:pPr>
        <w:numPr>
          <w:ilvl w:val="0"/>
          <w:numId w:val="7"/>
        </w:numPr>
      </w:pPr>
      <w:r w:rsidRPr="00561BC6">
        <w:t>Where possible, the state should collect and report employers’ and participants’ level of satisfaction.</w:t>
      </w:r>
    </w:p>
    <w:p w14:paraId="571C6E7A" w14:textId="77777777" w:rsidR="00561BC6" w:rsidRPr="00561BC6" w:rsidRDefault="00561BC6" w:rsidP="00561BC6">
      <w:pPr>
        <w:numPr>
          <w:ilvl w:val="0"/>
          <w:numId w:val="7"/>
        </w:numPr>
      </w:pPr>
      <w:r w:rsidRPr="00561BC6">
        <w:t xml:space="preserve">Again, the state plays a monitoring role. The state must monitor local PFP contract strategies to ensure: </w:t>
      </w:r>
    </w:p>
    <w:p w14:paraId="78C7189B" w14:textId="77777777" w:rsidR="00561BC6" w:rsidRPr="00561BC6" w:rsidRDefault="00561BC6" w:rsidP="00561BC6">
      <w:pPr>
        <w:numPr>
          <w:ilvl w:val="1"/>
          <w:numId w:val="7"/>
        </w:numPr>
      </w:pPr>
      <w:r w:rsidRPr="00561BC6">
        <w:lastRenderedPageBreak/>
        <w:t>Compliance with PFP TEGL specifications and applicable procurement policies.</w:t>
      </w:r>
    </w:p>
    <w:p w14:paraId="0907EDCB" w14:textId="77777777" w:rsidR="00561BC6" w:rsidRPr="00561BC6" w:rsidRDefault="00561BC6" w:rsidP="00561BC6">
      <w:pPr>
        <w:numPr>
          <w:ilvl w:val="1"/>
          <w:numId w:val="7"/>
        </w:numPr>
      </w:pPr>
      <w:r w:rsidRPr="00561BC6">
        <w:t xml:space="preserve">To make sure that no more than 10 percent of a local area’s Adult and Dislocated Worker allocation or Title I Youth allocation, are reserved for PFP contract strategies; and </w:t>
      </w:r>
    </w:p>
    <w:p w14:paraId="103A456A" w14:textId="77777777" w:rsidR="00561BC6" w:rsidRPr="00561BC6" w:rsidRDefault="00561BC6" w:rsidP="00561BC6">
      <w:pPr>
        <w:numPr>
          <w:ilvl w:val="1"/>
          <w:numId w:val="7"/>
        </w:numPr>
      </w:pPr>
      <w:r w:rsidRPr="00561BC6">
        <w:t xml:space="preserve">That no conflicts of interest occurred in PFP contract strategy outcomes. </w:t>
      </w:r>
    </w:p>
    <w:p w14:paraId="26859D9F" w14:textId="77777777" w:rsidR="00561BC6" w:rsidRPr="00561BC6" w:rsidRDefault="00561BC6" w:rsidP="00561BC6">
      <w:r w:rsidRPr="00561BC6">
        <w:t> </w:t>
      </w:r>
    </w:p>
    <w:p w14:paraId="6EFC9362" w14:textId="77777777" w:rsidR="00561BC6" w:rsidRPr="00561BC6" w:rsidRDefault="00561BC6" w:rsidP="00561BC6">
      <w:r w:rsidRPr="00561BC6">
        <w:t xml:space="preserve">And, if local areas request support, states may also provide technical assistance to local workforce boards to ensure their efforts are successful. </w:t>
      </w:r>
    </w:p>
    <w:p w14:paraId="0918FFAA" w14:textId="1C748680" w:rsidR="00561BC6" w:rsidRDefault="00561BC6">
      <w:r>
        <w:t>Slide 10:</w:t>
      </w:r>
    </w:p>
    <w:p w14:paraId="23749BA0" w14:textId="77777777" w:rsidR="00561BC6" w:rsidRPr="00561BC6" w:rsidRDefault="00561BC6" w:rsidP="00561BC6">
      <w:r w:rsidRPr="00561BC6">
        <w:t xml:space="preserve">Now </w:t>
      </w:r>
      <w:proofErr w:type="gramStart"/>
      <w:r w:rsidRPr="00561BC6">
        <w:t>let’s</w:t>
      </w:r>
      <w:proofErr w:type="gramEnd"/>
      <w:r w:rsidRPr="00561BC6">
        <w:t xml:space="preserve"> look at the six steps involved in implementing a PFP contract strategy…</w:t>
      </w:r>
    </w:p>
    <w:p w14:paraId="3D5891ED" w14:textId="0468BE6F" w:rsidR="00561BC6" w:rsidRDefault="00561BC6">
      <w:r>
        <w:t>Slide 11:</w:t>
      </w:r>
    </w:p>
    <w:p w14:paraId="5B6A265D" w14:textId="77777777" w:rsidR="00561BC6" w:rsidRPr="00561BC6" w:rsidRDefault="00561BC6" w:rsidP="00561BC6">
      <w:r w:rsidRPr="00561BC6">
        <w:t>Local areas are required to study the feasibility of whether an intervention is suitable for a PFP contract strategy. The feasibility study serves as a needs assessment to scope the initiative on what services will be delivered to which target population, at what project cost with specific negotiated outcomes.</w:t>
      </w:r>
    </w:p>
    <w:p w14:paraId="124EA005" w14:textId="77777777" w:rsidR="00561BC6" w:rsidRPr="00561BC6" w:rsidRDefault="00561BC6" w:rsidP="00561BC6">
      <w:r w:rsidRPr="00561BC6">
        <w:t>The feasibility study should:</w:t>
      </w:r>
    </w:p>
    <w:p w14:paraId="6D5D984F" w14:textId="77777777" w:rsidR="00561BC6" w:rsidRPr="00561BC6" w:rsidRDefault="00561BC6" w:rsidP="00561BC6">
      <w:pPr>
        <w:numPr>
          <w:ilvl w:val="0"/>
          <w:numId w:val="8"/>
        </w:numPr>
      </w:pPr>
      <w:r w:rsidRPr="00561BC6">
        <w:t>Identify the workforce development problem to be addressed, the target population with projected number of participants along with the proposed services.</w:t>
      </w:r>
    </w:p>
    <w:p w14:paraId="3AA90D41" w14:textId="77777777" w:rsidR="00561BC6" w:rsidRPr="00561BC6" w:rsidRDefault="00561BC6" w:rsidP="00561BC6">
      <w:pPr>
        <w:numPr>
          <w:ilvl w:val="0"/>
          <w:numId w:val="8"/>
        </w:numPr>
      </w:pPr>
      <w:r w:rsidRPr="00561BC6">
        <w:t>It should specify the projected performance outcomes – those that align with WIOA-required performance indicators and any additional outcomes specified by the contract.</w:t>
      </w:r>
    </w:p>
    <w:p w14:paraId="026E4884" w14:textId="77777777" w:rsidR="00561BC6" w:rsidRPr="00561BC6" w:rsidRDefault="00561BC6" w:rsidP="00561BC6">
      <w:pPr>
        <w:numPr>
          <w:ilvl w:val="0"/>
          <w:numId w:val="8"/>
        </w:numPr>
      </w:pPr>
      <w:r w:rsidRPr="00561BC6">
        <w:t xml:space="preserve">The feasibility study should estimate the cost associated with achieving the projected performance outcomes, and finally, </w:t>
      </w:r>
    </w:p>
    <w:p w14:paraId="5BE09185" w14:textId="77777777" w:rsidR="00561BC6" w:rsidRPr="00561BC6" w:rsidRDefault="00561BC6" w:rsidP="00561BC6">
      <w:pPr>
        <w:numPr>
          <w:ilvl w:val="0"/>
          <w:numId w:val="8"/>
        </w:numPr>
      </w:pPr>
      <w:r w:rsidRPr="00561BC6">
        <w:t>It should describe how the local area will reallocate funds to other PFP contracts if proposed outcomes are not met.</w:t>
      </w:r>
    </w:p>
    <w:p w14:paraId="513B838B" w14:textId="77777777" w:rsidR="00561BC6" w:rsidRPr="00561BC6" w:rsidRDefault="00561BC6" w:rsidP="00561BC6">
      <w:r w:rsidRPr="00561BC6">
        <w:t>There is no requirement for a feasibility determination or study to be developed by a third party.</w:t>
      </w:r>
    </w:p>
    <w:p w14:paraId="73324F5F" w14:textId="77777777" w:rsidR="00561BC6" w:rsidRPr="00561BC6" w:rsidRDefault="00561BC6" w:rsidP="00561BC6">
      <w:proofErr w:type="gramStart"/>
      <w:r w:rsidRPr="00561BC6">
        <w:t>And,</w:t>
      </w:r>
      <w:proofErr w:type="gramEnd"/>
      <w:r w:rsidRPr="00561BC6">
        <w:t xml:space="preserve"> it’s important to remember that because the feasibility study is a PFP-</w:t>
      </w:r>
      <w:r w:rsidRPr="00561BC6">
        <w:rPr>
          <w:b/>
          <w:bCs/>
        </w:rPr>
        <w:t xml:space="preserve">related </w:t>
      </w:r>
      <w:r w:rsidRPr="00561BC6">
        <w:t xml:space="preserve">activity, its costs may not be paid for with the PFP contract strategy funds and does not count toward the 10 percent cap. </w:t>
      </w:r>
    </w:p>
    <w:p w14:paraId="415E6BAF" w14:textId="036E8A05" w:rsidR="00561BC6" w:rsidRDefault="00561BC6">
      <w:r>
        <w:t>Slide 12:</w:t>
      </w:r>
    </w:p>
    <w:p w14:paraId="30F2CD4E" w14:textId="77777777" w:rsidR="00561BC6" w:rsidRPr="00561BC6" w:rsidRDefault="00561BC6" w:rsidP="00561BC6">
      <w:r w:rsidRPr="00561BC6">
        <w:t>In Step 2, the funding determinations are made. If a local area wishes to explore entering a PFP contract, they need to work closely with the state to ensure the funds are appropriately set aside and monitored.</w:t>
      </w:r>
    </w:p>
    <w:p w14:paraId="6DBAF190" w14:textId="77777777" w:rsidR="00561BC6" w:rsidRPr="00561BC6" w:rsidRDefault="00561BC6" w:rsidP="00561BC6">
      <w:r w:rsidRPr="00561BC6">
        <w:t xml:space="preserve">To do that, </w:t>
      </w:r>
    </w:p>
    <w:p w14:paraId="37D22569" w14:textId="77777777" w:rsidR="00561BC6" w:rsidRPr="00561BC6" w:rsidRDefault="00561BC6" w:rsidP="00561BC6">
      <w:pPr>
        <w:numPr>
          <w:ilvl w:val="0"/>
          <w:numId w:val="9"/>
        </w:numPr>
      </w:pPr>
      <w:r w:rsidRPr="00561BC6">
        <w:t>The local area coordinates PFP funding with the state to:</w:t>
      </w:r>
    </w:p>
    <w:p w14:paraId="13F20FFA" w14:textId="77777777" w:rsidR="00561BC6" w:rsidRPr="00561BC6" w:rsidRDefault="00561BC6" w:rsidP="00561BC6">
      <w:pPr>
        <w:numPr>
          <w:ilvl w:val="1"/>
          <w:numId w:val="9"/>
        </w:numPr>
      </w:pPr>
      <w:r w:rsidRPr="00561BC6">
        <w:t xml:space="preserve">Modify its WIOA grant to set aside PFP funds, </w:t>
      </w:r>
      <w:r w:rsidRPr="00561BC6">
        <w:rPr>
          <w:b/>
          <w:bCs/>
        </w:rPr>
        <w:t>and</w:t>
      </w:r>
      <w:r w:rsidRPr="00561BC6">
        <w:t xml:space="preserve"> </w:t>
      </w:r>
    </w:p>
    <w:p w14:paraId="485BB3B3" w14:textId="77777777" w:rsidR="00561BC6" w:rsidRPr="00561BC6" w:rsidRDefault="00561BC6" w:rsidP="00561BC6">
      <w:pPr>
        <w:numPr>
          <w:ilvl w:val="1"/>
          <w:numId w:val="9"/>
        </w:numPr>
      </w:pPr>
      <w:r w:rsidRPr="00561BC6">
        <w:t xml:space="preserve">Work with the local level to ensure financial controls are in place to track and report fund use and any carry </w:t>
      </w:r>
      <w:proofErr w:type="gramStart"/>
      <w:r w:rsidRPr="00561BC6">
        <w:t>over</w:t>
      </w:r>
      <w:proofErr w:type="gramEnd"/>
    </w:p>
    <w:p w14:paraId="0109B79E" w14:textId="77777777" w:rsidR="00561BC6" w:rsidRPr="00561BC6" w:rsidRDefault="00561BC6" w:rsidP="00561BC6">
      <w:pPr>
        <w:numPr>
          <w:ilvl w:val="0"/>
          <w:numId w:val="9"/>
        </w:numPr>
      </w:pPr>
      <w:r w:rsidRPr="00561BC6">
        <w:lastRenderedPageBreak/>
        <w:t>The PFP contract strategy funds that are set aside must be spent on WIOA Adult and/or Dislocated Worker-eligible participants and Youth funds must be spent on WIOA eligible Youth.</w:t>
      </w:r>
    </w:p>
    <w:p w14:paraId="6CD5D6DA" w14:textId="77777777" w:rsidR="00561BC6" w:rsidRPr="00561BC6" w:rsidRDefault="00561BC6" w:rsidP="00561BC6">
      <w:pPr>
        <w:numPr>
          <w:ilvl w:val="0"/>
          <w:numId w:val="9"/>
        </w:numPr>
      </w:pPr>
      <w:r w:rsidRPr="00561BC6">
        <w:t xml:space="preserve">Also, WIOA Governor’s Reserve funds set aside for statewide activities may be used for PFP-related activities such as TA and evaluations, and again, while they </w:t>
      </w:r>
      <w:proofErr w:type="gramStart"/>
      <w:r w:rsidRPr="00561BC6">
        <w:t>can’t</w:t>
      </w:r>
      <w:proofErr w:type="gramEnd"/>
      <w:r w:rsidRPr="00561BC6">
        <w:t xml:space="preserve"> be used for training activities, they can be used for things like supportive and wrap-around services to help ensure participants are successful.</w:t>
      </w:r>
    </w:p>
    <w:p w14:paraId="62A05AB6" w14:textId="77777777" w:rsidR="00561BC6" w:rsidRPr="00561BC6" w:rsidRDefault="00561BC6" w:rsidP="00561BC6">
      <w:pPr>
        <w:numPr>
          <w:ilvl w:val="0"/>
          <w:numId w:val="9"/>
        </w:numPr>
      </w:pPr>
      <w:r w:rsidRPr="00561BC6">
        <w:t xml:space="preserve">And of course, Governors could use non-federal funds as well to incentivize local boards to </w:t>
      </w:r>
      <w:proofErr w:type="gramStart"/>
      <w:r w:rsidRPr="00561BC6">
        <w:t>enter into</w:t>
      </w:r>
      <w:proofErr w:type="gramEnd"/>
      <w:r w:rsidRPr="00561BC6">
        <w:t xml:space="preserve"> PFP contracts.</w:t>
      </w:r>
    </w:p>
    <w:p w14:paraId="42B1A4E1" w14:textId="32A717CE" w:rsidR="00561BC6" w:rsidRDefault="00561BC6">
      <w:r>
        <w:t>Slide 13:</w:t>
      </w:r>
    </w:p>
    <w:p w14:paraId="3FDD5295" w14:textId="77777777" w:rsidR="00561BC6" w:rsidRPr="00561BC6" w:rsidRDefault="00561BC6" w:rsidP="00561BC6">
      <w:r w:rsidRPr="00561BC6">
        <w:t>For Step 3, Contract development begins with the identification of an eligible contractor which can include local or national community-based organizations or intermediaries, community colleges, or other providers eligible under WIOA.</w:t>
      </w:r>
    </w:p>
    <w:p w14:paraId="28B5FEF0" w14:textId="77777777" w:rsidR="00561BC6" w:rsidRPr="00561BC6" w:rsidRDefault="00561BC6" w:rsidP="00561BC6">
      <w:r w:rsidRPr="00561BC6">
        <w:t xml:space="preserve">Funds used as part of a PFP contract strategy must be obligated in legally binding contracts that specify a fixed amount to be paid to an eligible service provider. </w:t>
      </w:r>
    </w:p>
    <w:p w14:paraId="69020ABC" w14:textId="77777777" w:rsidR="00561BC6" w:rsidRPr="00561BC6" w:rsidRDefault="00561BC6" w:rsidP="00561BC6">
      <w:r w:rsidRPr="00561BC6">
        <w:t>The negotiated contract includes the elements identified in the feasibility study including what services will be provided to the target audience.</w:t>
      </w:r>
    </w:p>
    <w:p w14:paraId="0E62CE6D" w14:textId="77777777" w:rsidR="00561BC6" w:rsidRPr="00561BC6" w:rsidRDefault="00561BC6" w:rsidP="00561BC6">
      <w:r w:rsidRPr="00561BC6">
        <w:t>The contract clearly stipulates that payment is made only when performance outcomes are met and if bonus payments are available for exceeded performance within the specified timeline.</w:t>
      </w:r>
    </w:p>
    <w:p w14:paraId="7F95F64C" w14:textId="77777777" w:rsidR="00561BC6" w:rsidRPr="00561BC6" w:rsidRDefault="00561BC6" w:rsidP="00561BC6">
      <w:pPr>
        <w:numPr>
          <w:ilvl w:val="0"/>
          <w:numId w:val="10"/>
        </w:numPr>
      </w:pPr>
      <w:r w:rsidRPr="00561BC6">
        <w:t>To the extent known, the contract should also stipulate conditions that might necessitate adjustments to the contract timetable, outcomes, and services.</w:t>
      </w:r>
    </w:p>
    <w:p w14:paraId="4F4903B7" w14:textId="1510DE3F" w:rsidR="00561BC6" w:rsidRDefault="00561BC6">
      <w:r>
        <w:t>Slide 14:</w:t>
      </w:r>
    </w:p>
    <w:p w14:paraId="33F02C99" w14:textId="77777777" w:rsidR="00561BC6" w:rsidRPr="00561BC6" w:rsidRDefault="00561BC6" w:rsidP="00561BC6">
      <w:pPr>
        <w:numPr>
          <w:ilvl w:val="0"/>
          <w:numId w:val="11"/>
        </w:numPr>
      </w:pPr>
      <w:r w:rsidRPr="00561BC6">
        <w:t>As described in the previous slide, contract specifications must be clear to the local board, contractor, validator, and any oversight body especially about the outcomes that will determine the PFP payment.</w:t>
      </w:r>
    </w:p>
    <w:p w14:paraId="1FEBBCD4" w14:textId="77777777" w:rsidR="00561BC6" w:rsidRPr="00561BC6" w:rsidRDefault="00561BC6" w:rsidP="00561BC6">
      <w:pPr>
        <w:numPr>
          <w:ilvl w:val="0"/>
          <w:numId w:val="11"/>
        </w:numPr>
      </w:pPr>
      <w:r w:rsidRPr="00561BC6">
        <w:t xml:space="preserve">Typical of all executed contracts, the PFP contract must clearly specify the period of performance, standard </w:t>
      </w:r>
      <w:proofErr w:type="gramStart"/>
      <w:r w:rsidRPr="00561BC6">
        <w:t>terms</w:t>
      </w:r>
      <w:proofErr w:type="gramEnd"/>
      <w:r w:rsidRPr="00561BC6">
        <w:t xml:space="preserve"> and conditions as required by state, local and federal entities and signed by those authorized to do so.</w:t>
      </w:r>
    </w:p>
    <w:p w14:paraId="31B7E34A" w14:textId="77777777" w:rsidR="00561BC6" w:rsidRPr="00561BC6" w:rsidRDefault="00561BC6" w:rsidP="00561BC6">
      <w:pPr>
        <w:numPr>
          <w:ilvl w:val="0"/>
          <w:numId w:val="11"/>
        </w:numPr>
      </w:pPr>
      <w:r w:rsidRPr="00561BC6">
        <w:t>Note, that cost-plus-a-percentage-of-costs contracts are prohibited for PFP contract strategies.</w:t>
      </w:r>
    </w:p>
    <w:p w14:paraId="432AE45D" w14:textId="1B7FE66B" w:rsidR="00561BC6" w:rsidRDefault="00561BC6">
      <w:r>
        <w:t>Slide 15:</w:t>
      </w:r>
    </w:p>
    <w:p w14:paraId="16DB1EAC" w14:textId="77777777" w:rsidR="00561BC6" w:rsidRPr="00561BC6" w:rsidRDefault="00561BC6" w:rsidP="00561BC6">
      <w:r w:rsidRPr="00561BC6">
        <w:t>It is during Step 4 that the PFP contract is executed, and the services are delivered. The local area and/or the contractor work to recruit the targeted population and the required services are delivered. PFP contract strategies must be used to provide Adult and Dislocated Worker training services and/or Youth activities.</w:t>
      </w:r>
    </w:p>
    <w:p w14:paraId="6F347B3B" w14:textId="77777777" w:rsidR="00561BC6" w:rsidRPr="00561BC6" w:rsidRDefault="00561BC6" w:rsidP="00561BC6">
      <w:pPr>
        <w:numPr>
          <w:ilvl w:val="0"/>
          <w:numId w:val="12"/>
        </w:numPr>
      </w:pPr>
      <w:r w:rsidRPr="00561BC6">
        <w:t xml:space="preserve">For Adult and Dislocated Worker contract strategies, services listed in WIOA include occupational skills training, on-the-job training, incumbent worker training, cooperative education, private sector training, skill upgrading and retraining, entrepreneurial training, </w:t>
      </w:r>
      <w:r w:rsidRPr="00561BC6">
        <w:lastRenderedPageBreak/>
        <w:t>transitional jobs, job readiness training, adult education and literacy activities, and customized training.</w:t>
      </w:r>
    </w:p>
    <w:p w14:paraId="4B6882F7" w14:textId="77777777" w:rsidR="00561BC6" w:rsidRPr="00561BC6" w:rsidRDefault="00561BC6" w:rsidP="00561BC6">
      <w:pPr>
        <w:numPr>
          <w:ilvl w:val="0"/>
          <w:numId w:val="12"/>
        </w:numPr>
      </w:pPr>
      <w:r w:rsidRPr="00561BC6">
        <w:t xml:space="preserve">For Youth strategies, services and activities listed in WIOA include any of the 14 program elements. </w:t>
      </w:r>
    </w:p>
    <w:p w14:paraId="14B756B7" w14:textId="1061F88D" w:rsidR="00561BC6" w:rsidRDefault="00561BC6">
      <w:r>
        <w:t>Slide 16:</w:t>
      </w:r>
    </w:p>
    <w:p w14:paraId="46B8B117" w14:textId="77777777" w:rsidR="00561BC6" w:rsidRPr="00561BC6" w:rsidRDefault="00561BC6" w:rsidP="00561BC6">
      <w:r w:rsidRPr="00561BC6">
        <w:t>Step 5 deals with validation and begins with performance data being reported as outlined in the PFP contract.</w:t>
      </w:r>
    </w:p>
    <w:p w14:paraId="366E93E0" w14:textId="77777777" w:rsidR="00561BC6" w:rsidRPr="00561BC6" w:rsidRDefault="00561BC6" w:rsidP="00561BC6">
      <w:r w:rsidRPr="00561BC6">
        <w:t xml:space="preserve">After submission, all performance data requires validation by an entity independent of the contract and prior to any payment.  The validation must be based on reliable and verified data. </w:t>
      </w:r>
    </w:p>
    <w:p w14:paraId="4B2BCE05" w14:textId="77777777" w:rsidR="00561BC6" w:rsidRPr="00561BC6" w:rsidRDefault="00561BC6" w:rsidP="00561BC6">
      <w:r w:rsidRPr="00561BC6">
        <w:t>If the contract strategy includes performance indicators that are in addition to the WIOA primary indicators of performance, validation of these additional indicators must also occur prior to payment.</w:t>
      </w:r>
    </w:p>
    <w:p w14:paraId="6A8B60E4" w14:textId="77777777" w:rsidR="00561BC6" w:rsidRPr="00561BC6" w:rsidRDefault="00561BC6" w:rsidP="00561BC6">
      <w:r w:rsidRPr="00561BC6">
        <w:t xml:space="preserve">If </w:t>
      </w:r>
      <w:proofErr w:type="gramStart"/>
      <w:r w:rsidRPr="00561BC6">
        <w:t>there’s</w:t>
      </w:r>
      <w:proofErr w:type="gramEnd"/>
      <w:r w:rsidRPr="00561BC6">
        <w:t xml:space="preserve"> a PFP contract in a state, the state is required to conduct an evaluation. The state may either conduct its own evaluation or solicit an evaluator. The evaluation examines the design and results of the PFP contract execution and </w:t>
      </w:r>
      <w:proofErr w:type="gramStart"/>
      <w:r w:rsidRPr="00561BC6">
        <w:t>be in compliance</w:t>
      </w:r>
      <w:proofErr w:type="gramEnd"/>
      <w:r w:rsidRPr="00561BC6">
        <w:t xml:space="preserve"> of WIOA provisions.</w:t>
      </w:r>
    </w:p>
    <w:p w14:paraId="1988EAFA" w14:textId="1D2AD9CB" w:rsidR="00561BC6" w:rsidRDefault="00561BC6">
      <w:r>
        <w:t>Slide 17:</w:t>
      </w:r>
    </w:p>
    <w:p w14:paraId="3834341D" w14:textId="77777777" w:rsidR="00561BC6" w:rsidRPr="00561BC6" w:rsidRDefault="00561BC6" w:rsidP="00561BC6">
      <w:r w:rsidRPr="00561BC6">
        <w:t xml:space="preserve">The final step, Step 6, is payment for the PFP contract. </w:t>
      </w:r>
    </w:p>
    <w:p w14:paraId="45C02177" w14:textId="77777777" w:rsidR="00561BC6" w:rsidRPr="00561BC6" w:rsidRDefault="00561BC6" w:rsidP="00561BC6">
      <w:r w:rsidRPr="00561BC6">
        <w:t xml:space="preserve">Reiterated throughout the TEGL is the point that payment can only be made when the contractor has met or exceeded all </w:t>
      </w:r>
      <w:proofErr w:type="gramStart"/>
      <w:r w:rsidRPr="00561BC6">
        <w:t>contractually-specified</w:t>
      </w:r>
      <w:proofErr w:type="gramEnd"/>
      <w:r w:rsidRPr="00561BC6">
        <w:t xml:space="preserve"> performance outcomes for WIOA indicators and additional identified performance outcomes. </w:t>
      </w:r>
    </w:p>
    <w:p w14:paraId="76D09F67" w14:textId="77777777" w:rsidR="00561BC6" w:rsidRPr="00561BC6" w:rsidRDefault="00561BC6" w:rsidP="00561BC6">
      <w:r w:rsidRPr="00561BC6">
        <w:t xml:space="preserve">Bonuses are paid if they are negotiated in advance as a contract element for some or </w:t>
      </w:r>
      <w:proofErr w:type="gramStart"/>
      <w:r w:rsidRPr="00561BC6">
        <w:t>all of</w:t>
      </w:r>
      <w:proofErr w:type="gramEnd"/>
      <w:r w:rsidRPr="00561BC6">
        <w:t xml:space="preserve"> the performance indicators that exceed performance targets.</w:t>
      </w:r>
    </w:p>
    <w:p w14:paraId="0FF1F56D" w14:textId="554A7345" w:rsidR="00561BC6" w:rsidRDefault="00561BC6" w:rsidP="00561BC6">
      <w:r w:rsidRPr="00561BC6">
        <w:t xml:space="preserve">Contract strategies have the flexibility to design payment amounts for each performance outcome across all the applicable WIOA performance indicators, but ETA encourages the use of higher payments for those performance indicators that the local WIOA area believes are more difficult to meet. Contract strategies can also include a scale of payments - so for example, so it can put in the contract that the provider will receive a certain payout amount for one level of performance and then a higher payout amount for higher levels of </w:t>
      </w:r>
      <w:proofErr w:type="gramStart"/>
      <w:r w:rsidRPr="00561BC6">
        <w:t>performance</w:t>
      </w:r>
      <w:proofErr w:type="gramEnd"/>
    </w:p>
    <w:p w14:paraId="2434F3C9" w14:textId="09AC7B8D" w:rsidR="00561BC6" w:rsidRDefault="00561BC6" w:rsidP="00561BC6">
      <w:r>
        <w:t>Slide 18:</w:t>
      </w:r>
    </w:p>
    <w:p w14:paraId="01D71A8D" w14:textId="77777777" w:rsidR="00561BC6" w:rsidRPr="00561BC6" w:rsidRDefault="00561BC6" w:rsidP="00561BC6">
      <w:r w:rsidRPr="00561BC6">
        <w:t>Hopefully, this review of TEGL 8-20 has provided you with a bit more information about the opportunities and processes of implementing Pay for Performance. We encourage you to learn more by reviewing the three attachments listed on this slide. And for additional questions, please direct all inquiries to your ETA Regional Office.</w:t>
      </w:r>
    </w:p>
    <w:p w14:paraId="390C77A3" w14:textId="5BD78F98" w:rsidR="00561BC6" w:rsidRDefault="00561BC6" w:rsidP="00561BC6">
      <w:r>
        <w:t>Slide 19:</w:t>
      </w:r>
    </w:p>
    <w:p w14:paraId="6B01562D" w14:textId="77777777" w:rsidR="00561BC6" w:rsidRPr="00561BC6" w:rsidRDefault="00561BC6" w:rsidP="00561BC6">
      <w:r w:rsidRPr="00561BC6">
        <w:t xml:space="preserve">And thank you for joining us on today’s PFP webcast. </w:t>
      </w:r>
    </w:p>
    <w:p w14:paraId="77ACA7B0" w14:textId="77777777" w:rsidR="00561BC6" w:rsidRDefault="00561BC6" w:rsidP="00561BC6"/>
    <w:sectPr w:rsidR="00561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15E2B"/>
    <w:multiLevelType w:val="hybridMultilevel"/>
    <w:tmpl w:val="E216FD7A"/>
    <w:lvl w:ilvl="0" w:tplc="D708DFC2">
      <w:start w:val="1"/>
      <w:numFmt w:val="bullet"/>
      <w:lvlText w:val="•"/>
      <w:lvlJc w:val="left"/>
      <w:pPr>
        <w:tabs>
          <w:tab w:val="num" w:pos="720"/>
        </w:tabs>
        <w:ind w:left="720" w:hanging="360"/>
      </w:pPr>
      <w:rPr>
        <w:rFonts w:ascii="Arial" w:hAnsi="Arial" w:hint="default"/>
      </w:rPr>
    </w:lvl>
    <w:lvl w:ilvl="1" w:tplc="BD1EA868" w:tentative="1">
      <w:start w:val="1"/>
      <w:numFmt w:val="bullet"/>
      <w:lvlText w:val="•"/>
      <w:lvlJc w:val="left"/>
      <w:pPr>
        <w:tabs>
          <w:tab w:val="num" w:pos="1440"/>
        </w:tabs>
        <w:ind w:left="1440" w:hanging="360"/>
      </w:pPr>
      <w:rPr>
        <w:rFonts w:ascii="Arial" w:hAnsi="Arial" w:hint="default"/>
      </w:rPr>
    </w:lvl>
    <w:lvl w:ilvl="2" w:tplc="4ABEBC0E" w:tentative="1">
      <w:start w:val="1"/>
      <w:numFmt w:val="bullet"/>
      <w:lvlText w:val="•"/>
      <w:lvlJc w:val="left"/>
      <w:pPr>
        <w:tabs>
          <w:tab w:val="num" w:pos="2160"/>
        </w:tabs>
        <w:ind w:left="2160" w:hanging="360"/>
      </w:pPr>
      <w:rPr>
        <w:rFonts w:ascii="Arial" w:hAnsi="Arial" w:hint="default"/>
      </w:rPr>
    </w:lvl>
    <w:lvl w:ilvl="3" w:tplc="E6502716" w:tentative="1">
      <w:start w:val="1"/>
      <w:numFmt w:val="bullet"/>
      <w:lvlText w:val="•"/>
      <w:lvlJc w:val="left"/>
      <w:pPr>
        <w:tabs>
          <w:tab w:val="num" w:pos="2880"/>
        </w:tabs>
        <w:ind w:left="2880" w:hanging="360"/>
      </w:pPr>
      <w:rPr>
        <w:rFonts w:ascii="Arial" w:hAnsi="Arial" w:hint="default"/>
      </w:rPr>
    </w:lvl>
    <w:lvl w:ilvl="4" w:tplc="D54C3DBE" w:tentative="1">
      <w:start w:val="1"/>
      <w:numFmt w:val="bullet"/>
      <w:lvlText w:val="•"/>
      <w:lvlJc w:val="left"/>
      <w:pPr>
        <w:tabs>
          <w:tab w:val="num" w:pos="3600"/>
        </w:tabs>
        <w:ind w:left="3600" w:hanging="360"/>
      </w:pPr>
      <w:rPr>
        <w:rFonts w:ascii="Arial" w:hAnsi="Arial" w:hint="default"/>
      </w:rPr>
    </w:lvl>
    <w:lvl w:ilvl="5" w:tplc="2F0C2814" w:tentative="1">
      <w:start w:val="1"/>
      <w:numFmt w:val="bullet"/>
      <w:lvlText w:val="•"/>
      <w:lvlJc w:val="left"/>
      <w:pPr>
        <w:tabs>
          <w:tab w:val="num" w:pos="4320"/>
        </w:tabs>
        <w:ind w:left="4320" w:hanging="360"/>
      </w:pPr>
      <w:rPr>
        <w:rFonts w:ascii="Arial" w:hAnsi="Arial" w:hint="default"/>
      </w:rPr>
    </w:lvl>
    <w:lvl w:ilvl="6" w:tplc="E544E7D8" w:tentative="1">
      <w:start w:val="1"/>
      <w:numFmt w:val="bullet"/>
      <w:lvlText w:val="•"/>
      <w:lvlJc w:val="left"/>
      <w:pPr>
        <w:tabs>
          <w:tab w:val="num" w:pos="5040"/>
        </w:tabs>
        <w:ind w:left="5040" w:hanging="360"/>
      </w:pPr>
      <w:rPr>
        <w:rFonts w:ascii="Arial" w:hAnsi="Arial" w:hint="default"/>
      </w:rPr>
    </w:lvl>
    <w:lvl w:ilvl="7" w:tplc="FE78C924" w:tentative="1">
      <w:start w:val="1"/>
      <w:numFmt w:val="bullet"/>
      <w:lvlText w:val="•"/>
      <w:lvlJc w:val="left"/>
      <w:pPr>
        <w:tabs>
          <w:tab w:val="num" w:pos="5760"/>
        </w:tabs>
        <w:ind w:left="5760" w:hanging="360"/>
      </w:pPr>
      <w:rPr>
        <w:rFonts w:ascii="Arial" w:hAnsi="Arial" w:hint="default"/>
      </w:rPr>
    </w:lvl>
    <w:lvl w:ilvl="8" w:tplc="0E9483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037B3F"/>
    <w:multiLevelType w:val="hybridMultilevel"/>
    <w:tmpl w:val="C824ACF2"/>
    <w:lvl w:ilvl="0" w:tplc="395C06DC">
      <w:start w:val="1"/>
      <w:numFmt w:val="bullet"/>
      <w:lvlText w:val="•"/>
      <w:lvlJc w:val="left"/>
      <w:pPr>
        <w:tabs>
          <w:tab w:val="num" w:pos="720"/>
        </w:tabs>
        <w:ind w:left="720" w:hanging="360"/>
      </w:pPr>
      <w:rPr>
        <w:rFonts w:ascii="Arial" w:hAnsi="Arial" w:hint="default"/>
      </w:rPr>
    </w:lvl>
    <w:lvl w:ilvl="1" w:tplc="99DAD2EA" w:tentative="1">
      <w:start w:val="1"/>
      <w:numFmt w:val="bullet"/>
      <w:lvlText w:val="•"/>
      <w:lvlJc w:val="left"/>
      <w:pPr>
        <w:tabs>
          <w:tab w:val="num" w:pos="1440"/>
        </w:tabs>
        <w:ind w:left="1440" w:hanging="360"/>
      </w:pPr>
      <w:rPr>
        <w:rFonts w:ascii="Arial" w:hAnsi="Arial" w:hint="default"/>
      </w:rPr>
    </w:lvl>
    <w:lvl w:ilvl="2" w:tplc="D46A89DE" w:tentative="1">
      <w:start w:val="1"/>
      <w:numFmt w:val="bullet"/>
      <w:lvlText w:val="•"/>
      <w:lvlJc w:val="left"/>
      <w:pPr>
        <w:tabs>
          <w:tab w:val="num" w:pos="2160"/>
        </w:tabs>
        <w:ind w:left="2160" w:hanging="360"/>
      </w:pPr>
      <w:rPr>
        <w:rFonts w:ascii="Arial" w:hAnsi="Arial" w:hint="default"/>
      </w:rPr>
    </w:lvl>
    <w:lvl w:ilvl="3" w:tplc="A5CE5462" w:tentative="1">
      <w:start w:val="1"/>
      <w:numFmt w:val="bullet"/>
      <w:lvlText w:val="•"/>
      <w:lvlJc w:val="left"/>
      <w:pPr>
        <w:tabs>
          <w:tab w:val="num" w:pos="2880"/>
        </w:tabs>
        <w:ind w:left="2880" w:hanging="360"/>
      </w:pPr>
      <w:rPr>
        <w:rFonts w:ascii="Arial" w:hAnsi="Arial" w:hint="default"/>
      </w:rPr>
    </w:lvl>
    <w:lvl w:ilvl="4" w:tplc="939C6D18" w:tentative="1">
      <w:start w:val="1"/>
      <w:numFmt w:val="bullet"/>
      <w:lvlText w:val="•"/>
      <w:lvlJc w:val="left"/>
      <w:pPr>
        <w:tabs>
          <w:tab w:val="num" w:pos="3600"/>
        </w:tabs>
        <w:ind w:left="3600" w:hanging="360"/>
      </w:pPr>
      <w:rPr>
        <w:rFonts w:ascii="Arial" w:hAnsi="Arial" w:hint="default"/>
      </w:rPr>
    </w:lvl>
    <w:lvl w:ilvl="5" w:tplc="B420D41E" w:tentative="1">
      <w:start w:val="1"/>
      <w:numFmt w:val="bullet"/>
      <w:lvlText w:val="•"/>
      <w:lvlJc w:val="left"/>
      <w:pPr>
        <w:tabs>
          <w:tab w:val="num" w:pos="4320"/>
        </w:tabs>
        <w:ind w:left="4320" w:hanging="360"/>
      </w:pPr>
      <w:rPr>
        <w:rFonts w:ascii="Arial" w:hAnsi="Arial" w:hint="default"/>
      </w:rPr>
    </w:lvl>
    <w:lvl w:ilvl="6" w:tplc="15B2942A" w:tentative="1">
      <w:start w:val="1"/>
      <w:numFmt w:val="bullet"/>
      <w:lvlText w:val="•"/>
      <w:lvlJc w:val="left"/>
      <w:pPr>
        <w:tabs>
          <w:tab w:val="num" w:pos="5040"/>
        </w:tabs>
        <w:ind w:left="5040" w:hanging="360"/>
      </w:pPr>
      <w:rPr>
        <w:rFonts w:ascii="Arial" w:hAnsi="Arial" w:hint="default"/>
      </w:rPr>
    </w:lvl>
    <w:lvl w:ilvl="7" w:tplc="8D0C7F6E" w:tentative="1">
      <w:start w:val="1"/>
      <w:numFmt w:val="bullet"/>
      <w:lvlText w:val="•"/>
      <w:lvlJc w:val="left"/>
      <w:pPr>
        <w:tabs>
          <w:tab w:val="num" w:pos="5760"/>
        </w:tabs>
        <w:ind w:left="5760" w:hanging="360"/>
      </w:pPr>
      <w:rPr>
        <w:rFonts w:ascii="Arial" w:hAnsi="Arial" w:hint="default"/>
      </w:rPr>
    </w:lvl>
    <w:lvl w:ilvl="8" w:tplc="0CBE40E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193FEE"/>
    <w:multiLevelType w:val="hybridMultilevel"/>
    <w:tmpl w:val="B8EA9A94"/>
    <w:lvl w:ilvl="0" w:tplc="899EFA7A">
      <w:start w:val="1"/>
      <w:numFmt w:val="bullet"/>
      <w:lvlText w:val="•"/>
      <w:lvlJc w:val="left"/>
      <w:pPr>
        <w:tabs>
          <w:tab w:val="num" w:pos="720"/>
        </w:tabs>
        <w:ind w:left="720" w:hanging="360"/>
      </w:pPr>
      <w:rPr>
        <w:rFonts w:ascii="Arial" w:hAnsi="Arial" w:hint="default"/>
      </w:rPr>
    </w:lvl>
    <w:lvl w:ilvl="1" w:tplc="CF0EC6DE">
      <w:numFmt w:val="bullet"/>
      <w:lvlText w:val="•"/>
      <w:lvlJc w:val="left"/>
      <w:pPr>
        <w:tabs>
          <w:tab w:val="num" w:pos="1440"/>
        </w:tabs>
        <w:ind w:left="1440" w:hanging="360"/>
      </w:pPr>
      <w:rPr>
        <w:rFonts w:ascii="Arial" w:hAnsi="Arial" w:hint="default"/>
      </w:rPr>
    </w:lvl>
    <w:lvl w:ilvl="2" w:tplc="B82CFA92" w:tentative="1">
      <w:start w:val="1"/>
      <w:numFmt w:val="bullet"/>
      <w:lvlText w:val="•"/>
      <w:lvlJc w:val="left"/>
      <w:pPr>
        <w:tabs>
          <w:tab w:val="num" w:pos="2160"/>
        </w:tabs>
        <w:ind w:left="2160" w:hanging="360"/>
      </w:pPr>
      <w:rPr>
        <w:rFonts w:ascii="Arial" w:hAnsi="Arial" w:hint="default"/>
      </w:rPr>
    </w:lvl>
    <w:lvl w:ilvl="3" w:tplc="52282BAC" w:tentative="1">
      <w:start w:val="1"/>
      <w:numFmt w:val="bullet"/>
      <w:lvlText w:val="•"/>
      <w:lvlJc w:val="left"/>
      <w:pPr>
        <w:tabs>
          <w:tab w:val="num" w:pos="2880"/>
        </w:tabs>
        <w:ind w:left="2880" w:hanging="360"/>
      </w:pPr>
      <w:rPr>
        <w:rFonts w:ascii="Arial" w:hAnsi="Arial" w:hint="default"/>
      </w:rPr>
    </w:lvl>
    <w:lvl w:ilvl="4" w:tplc="CD1C3866" w:tentative="1">
      <w:start w:val="1"/>
      <w:numFmt w:val="bullet"/>
      <w:lvlText w:val="•"/>
      <w:lvlJc w:val="left"/>
      <w:pPr>
        <w:tabs>
          <w:tab w:val="num" w:pos="3600"/>
        </w:tabs>
        <w:ind w:left="3600" w:hanging="360"/>
      </w:pPr>
      <w:rPr>
        <w:rFonts w:ascii="Arial" w:hAnsi="Arial" w:hint="default"/>
      </w:rPr>
    </w:lvl>
    <w:lvl w:ilvl="5" w:tplc="32B83FEA" w:tentative="1">
      <w:start w:val="1"/>
      <w:numFmt w:val="bullet"/>
      <w:lvlText w:val="•"/>
      <w:lvlJc w:val="left"/>
      <w:pPr>
        <w:tabs>
          <w:tab w:val="num" w:pos="4320"/>
        </w:tabs>
        <w:ind w:left="4320" w:hanging="360"/>
      </w:pPr>
      <w:rPr>
        <w:rFonts w:ascii="Arial" w:hAnsi="Arial" w:hint="default"/>
      </w:rPr>
    </w:lvl>
    <w:lvl w:ilvl="6" w:tplc="5778F9B0" w:tentative="1">
      <w:start w:val="1"/>
      <w:numFmt w:val="bullet"/>
      <w:lvlText w:val="•"/>
      <w:lvlJc w:val="left"/>
      <w:pPr>
        <w:tabs>
          <w:tab w:val="num" w:pos="5040"/>
        </w:tabs>
        <w:ind w:left="5040" w:hanging="360"/>
      </w:pPr>
      <w:rPr>
        <w:rFonts w:ascii="Arial" w:hAnsi="Arial" w:hint="default"/>
      </w:rPr>
    </w:lvl>
    <w:lvl w:ilvl="7" w:tplc="858A89A0" w:tentative="1">
      <w:start w:val="1"/>
      <w:numFmt w:val="bullet"/>
      <w:lvlText w:val="•"/>
      <w:lvlJc w:val="left"/>
      <w:pPr>
        <w:tabs>
          <w:tab w:val="num" w:pos="5760"/>
        </w:tabs>
        <w:ind w:left="5760" w:hanging="360"/>
      </w:pPr>
      <w:rPr>
        <w:rFonts w:ascii="Arial" w:hAnsi="Arial" w:hint="default"/>
      </w:rPr>
    </w:lvl>
    <w:lvl w:ilvl="8" w:tplc="40A0A71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3335BD2"/>
    <w:multiLevelType w:val="hybridMultilevel"/>
    <w:tmpl w:val="86D40248"/>
    <w:lvl w:ilvl="0" w:tplc="CBE0E124">
      <w:start w:val="1"/>
      <w:numFmt w:val="bullet"/>
      <w:lvlText w:val="•"/>
      <w:lvlJc w:val="left"/>
      <w:pPr>
        <w:tabs>
          <w:tab w:val="num" w:pos="720"/>
        </w:tabs>
        <w:ind w:left="720" w:hanging="360"/>
      </w:pPr>
      <w:rPr>
        <w:rFonts w:ascii="Arial" w:hAnsi="Arial" w:hint="default"/>
      </w:rPr>
    </w:lvl>
    <w:lvl w:ilvl="1" w:tplc="E47891C8" w:tentative="1">
      <w:start w:val="1"/>
      <w:numFmt w:val="bullet"/>
      <w:lvlText w:val="•"/>
      <w:lvlJc w:val="left"/>
      <w:pPr>
        <w:tabs>
          <w:tab w:val="num" w:pos="1440"/>
        </w:tabs>
        <w:ind w:left="1440" w:hanging="360"/>
      </w:pPr>
      <w:rPr>
        <w:rFonts w:ascii="Arial" w:hAnsi="Arial" w:hint="default"/>
      </w:rPr>
    </w:lvl>
    <w:lvl w:ilvl="2" w:tplc="165C4826" w:tentative="1">
      <w:start w:val="1"/>
      <w:numFmt w:val="bullet"/>
      <w:lvlText w:val="•"/>
      <w:lvlJc w:val="left"/>
      <w:pPr>
        <w:tabs>
          <w:tab w:val="num" w:pos="2160"/>
        </w:tabs>
        <w:ind w:left="2160" w:hanging="360"/>
      </w:pPr>
      <w:rPr>
        <w:rFonts w:ascii="Arial" w:hAnsi="Arial" w:hint="default"/>
      </w:rPr>
    </w:lvl>
    <w:lvl w:ilvl="3" w:tplc="6F4670CC" w:tentative="1">
      <w:start w:val="1"/>
      <w:numFmt w:val="bullet"/>
      <w:lvlText w:val="•"/>
      <w:lvlJc w:val="left"/>
      <w:pPr>
        <w:tabs>
          <w:tab w:val="num" w:pos="2880"/>
        </w:tabs>
        <w:ind w:left="2880" w:hanging="360"/>
      </w:pPr>
      <w:rPr>
        <w:rFonts w:ascii="Arial" w:hAnsi="Arial" w:hint="default"/>
      </w:rPr>
    </w:lvl>
    <w:lvl w:ilvl="4" w:tplc="B18E0120" w:tentative="1">
      <w:start w:val="1"/>
      <w:numFmt w:val="bullet"/>
      <w:lvlText w:val="•"/>
      <w:lvlJc w:val="left"/>
      <w:pPr>
        <w:tabs>
          <w:tab w:val="num" w:pos="3600"/>
        </w:tabs>
        <w:ind w:left="3600" w:hanging="360"/>
      </w:pPr>
      <w:rPr>
        <w:rFonts w:ascii="Arial" w:hAnsi="Arial" w:hint="default"/>
      </w:rPr>
    </w:lvl>
    <w:lvl w:ilvl="5" w:tplc="65108EE2" w:tentative="1">
      <w:start w:val="1"/>
      <w:numFmt w:val="bullet"/>
      <w:lvlText w:val="•"/>
      <w:lvlJc w:val="left"/>
      <w:pPr>
        <w:tabs>
          <w:tab w:val="num" w:pos="4320"/>
        </w:tabs>
        <w:ind w:left="4320" w:hanging="360"/>
      </w:pPr>
      <w:rPr>
        <w:rFonts w:ascii="Arial" w:hAnsi="Arial" w:hint="default"/>
      </w:rPr>
    </w:lvl>
    <w:lvl w:ilvl="6" w:tplc="D7F8D728" w:tentative="1">
      <w:start w:val="1"/>
      <w:numFmt w:val="bullet"/>
      <w:lvlText w:val="•"/>
      <w:lvlJc w:val="left"/>
      <w:pPr>
        <w:tabs>
          <w:tab w:val="num" w:pos="5040"/>
        </w:tabs>
        <w:ind w:left="5040" w:hanging="360"/>
      </w:pPr>
      <w:rPr>
        <w:rFonts w:ascii="Arial" w:hAnsi="Arial" w:hint="default"/>
      </w:rPr>
    </w:lvl>
    <w:lvl w:ilvl="7" w:tplc="9A84589E" w:tentative="1">
      <w:start w:val="1"/>
      <w:numFmt w:val="bullet"/>
      <w:lvlText w:val="•"/>
      <w:lvlJc w:val="left"/>
      <w:pPr>
        <w:tabs>
          <w:tab w:val="num" w:pos="5760"/>
        </w:tabs>
        <w:ind w:left="5760" w:hanging="360"/>
      </w:pPr>
      <w:rPr>
        <w:rFonts w:ascii="Arial" w:hAnsi="Arial" w:hint="default"/>
      </w:rPr>
    </w:lvl>
    <w:lvl w:ilvl="8" w:tplc="0936AE9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37E2BB0"/>
    <w:multiLevelType w:val="hybridMultilevel"/>
    <w:tmpl w:val="60B47518"/>
    <w:lvl w:ilvl="0" w:tplc="A66E6746">
      <w:start w:val="1"/>
      <w:numFmt w:val="bullet"/>
      <w:lvlText w:val="•"/>
      <w:lvlJc w:val="left"/>
      <w:pPr>
        <w:tabs>
          <w:tab w:val="num" w:pos="720"/>
        </w:tabs>
        <w:ind w:left="720" w:hanging="360"/>
      </w:pPr>
      <w:rPr>
        <w:rFonts w:ascii="Arial" w:hAnsi="Arial" w:hint="default"/>
      </w:rPr>
    </w:lvl>
    <w:lvl w:ilvl="1" w:tplc="5A840776">
      <w:numFmt w:val="none"/>
      <w:lvlText w:val=""/>
      <w:lvlJc w:val="left"/>
      <w:pPr>
        <w:tabs>
          <w:tab w:val="num" w:pos="360"/>
        </w:tabs>
      </w:pPr>
    </w:lvl>
    <w:lvl w:ilvl="2" w:tplc="7612033E" w:tentative="1">
      <w:start w:val="1"/>
      <w:numFmt w:val="bullet"/>
      <w:lvlText w:val="•"/>
      <w:lvlJc w:val="left"/>
      <w:pPr>
        <w:tabs>
          <w:tab w:val="num" w:pos="2160"/>
        </w:tabs>
        <w:ind w:left="2160" w:hanging="360"/>
      </w:pPr>
      <w:rPr>
        <w:rFonts w:ascii="Arial" w:hAnsi="Arial" w:hint="default"/>
      </w:rPr>
    </w:lvl>
    <w:lvl w:ilvl="3" w:tplc="C75A705E" w:tentative="1">
      <w:start w:val="1"/>
      <w:numFmt w:val="bullet"/>
      <w:lvlText w:val="•"/>
      <w:lvlJc w:val="left"/>
      <w:pPr>
        <w:tabs>
          <w:tab w:val="num" w:pos="2880"/>
        </w:tabs>
        <w:ind w:left="2880" w:hanging="360"/>
      </w:pPr>
      <w:rPr>
        <w:rFonts w:ascii="Arial" w:hAnsi="Arial" w:hint="default"/>
      </w:rPr>
    </w:lvl>
    <w:lvl w:ilvl="4" w:tplc="4D32C94A" w:tentative="1">
      <w:start w:val="1"/>
      <w:numFmt w:val="bullet"/>
      <w:lvlText w:val="•"/>
      <w:lvlJc w:val="left"/>
      <w:pPr>
        <w:tabs>
          <w:tab w:val="num" w:pos="3600"/>
        </w:tabs>
        <w:ind w:left="3600" w:hanging="360"/>
      </w:pPr>
      <w:rPr>
        <w:rFonts w:ascii="Arial" w:hAnsi="Arial" w:hint="default"/>
      </w:rPr>
    </w:lvl>
    <w:lvl w:ilvl="5" w:tplc="D402CD38" w:tentative="1">
      <w:start w:val="1"/>
      <w:numFmt w:val="bullet"/>
      <w:lvlText w:val="•"/>
      <w:lvlJc w:val="left"/>
      <w:pPr>
        <w:tabs>
          <w:tab w:val="num" w:pos="4320"/>
        </w:tabs>
        <w:ind w:left="4320" w:hanging="360"/>
      </w:pPr>
      <w:rPr>
        <w:rFonts w:ascii="Arial" w:hAnsi="Arial" w:hint="default"/>
      </w:rPr>
    </w:lvl>
    <w:lvl w:ilvl="6" w:tplc="9CB44960" w:tentative="1">
      <w:start w:val="1"/>
      <w:numFmt w:val="bullet"/>
      <w:lvlText w:val="•"/>
      <w:lvlJc w:val="left"/>
      <w:pPr>
        <w:tabs>
          <w:tab w:val="num" w:pos="5040"/>
        </w:tabs>
        <w:ind w:left="5040" w:hanging="360"/>
      </w:pPr>
      <w:rPr>
        <w:rFonts w:ascii="Arial" w:hAnsi="Arial" w:hint="default"/>
      </w:rPr>
    </w:lvl>
    <w:lvl w:ilvl="7" w:tplc="3B128E0C" w:tentative="1">
      <w:start w:val="1"/>
      <w:numFmt w:val="bullet"/>
      <w:lvlText w:val="•"/>
      <w:lvlJc w:val="left"/>
      <w:pPr>
        <w:tabs>
          <w:tab w:val="num" w:pos="5760"/>
        </w:tabs>
        <w:ind w:left="5760" w:hanging="360"/>
      </w:pPr>
      <w:rPr>
        <w:rFonts w:ascii="Arial" w:hAnsi="Arial" w:hint="default"/>
      </w:rPr>
    </w:lvl>
    <w:lvl w:ilvl="8" w:tplc="D47AD37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39B7AF2"/>
    <w:multiLevelType w:val="hybridMultilevel"/>
    <w:tmpl w:val="B3E87C26"/>
    <w:lvl w:ilvl="0" w:tplc="65A4B548">
      <w:start w:val="1"/>
      <w:numFmt w:val="bullet"/>
      <w:lvlText w:val="•"/>
      <w:lvlJc w:val="left"/>
      <w:pPr>
        <w:tabs>
          <w:tab w:val="num" w:pos="720"/>
        </w:tabs>
        <w:ind w:left="720" w:hanging="360"/>
      </w:pPr>
      <w:rPr>
        <w:rFonts w:ascii="Arial" w:hAnsi="Arial" w:hint="default"/>
      </w:rPr>
    </w:lvl>
    <w:lvl w:ilvl="1" w:tplc="04C07BA4" w:tentative="1">
      <w:start w:val="1"/>
      <w:numFmt w:val="bullet"/>
      <w:lvlText w:val="•"/>
      <w:lvlJc w:val="left"/>
      <w:pPr>
        <w:tabs>
          <w:tab w:val="num" w:pos="1440"/>
        </w:tabs>
        <w:ind w:left="1440" w:hanging="360"/>
      </w:pPr>
      <w:rPr>
        <w:rFonts w:ascii="Arial" w:hAnsi="Arial" w:hint="default"/>
      </w:rPr>
    </w:lvl>
    <w:lvl w:ilvl="2" w:tplc="B9D0ECA2" w:tentative="1">
      <w:start w:val="1"/>
      <w:numFmt w:val="bullet"/>
      <w:lvlText w:val="•"/>
      <w:lvlJc w:val="left"/>
      <w:pPr>
        <w:tabs>
          <w:tab w:val="num" w:pos="2160"/>
        </w:tabs>
        <w:ind w:left="2160" w:hanging="360"/>
      </w:pPr>
      <w:rPr>
        <w:rFonts w:ascii="Arial" w:hAnsi="Arial" w:hint="default"/>
      </w:rPr>
    </w:lvl>
    <w:lvl w:ilvl="3" w:tplc="9A705F70" w:tentative="1">
      <w:start w:val="1"/>
      <w:numFmt w:val="bullet"/>
      <w:lvlText w:val="•"/>
      <w:lvlJc w:val="left"/>
      <w:pPr>
        <w:tabs>
          <w:tab w:val="num" w:pos="2880"/>
        </w:tabs>
        <w:ind w:left="2880" w:hanging="360"/>
      </w:pPr>
      <w:rPr>
        <w:rFonts w:ascii="Arial" w:hAnsi="Arial" w:hint="default"/>
      </w:rPr>
    </w:lvl>
    <w:lvl w:ilvl="4" w:tplc="DA5825EC" w:tentative="1">
      <w:start w:val="1"/>
      <w:numFmt w:val="bullet"/>
      <w:lvlText w:val="•"/>
      <w:lvlJc w:val="left"/>
      <w:pPr>
        <w:tabs>
          <w:tab w:val="num" w:pos="3600"/>
        </w:tabs>
        <w:ind w:left="3600" w:hanging="360"/>
      </w:pPr>
      <w:rPr>
        <w:rFonts w:ascii="Arial" w:hAnsi="Arial" w:hint="default"/>
      </w:rPr>
    </w:lvl>
    <w:lvl w:ilvl="5" w:tplc="22C06C58" w:tentative="1">
      <w:start w:val="1"/>
      <w:numFmt w:val="bullet"/>
      <w:lvlText w:val="•"/>
      <w:lvlJc w:val="left"/>
      <w:pPr>
        <w:tabs>
          <w:tab w:val="num" w:pos="4320"/>
        </w:tabs>
        <w:ind w:left="4320" w:hanging="360"/>
      </w:pPr>
      <w:rPr>
        <w:rFonts w:ascii="Arial" w:hAnsi="Arial" w:hint="default"/>
      </w:rPr>
    </w:lvl>
    <w:lvl w:ilvl="6" w:tplc="F0601C46" w:tentative="1">
      <w:start w:val="1"/>
      <w:numFmt w:val="bullet"/>
      <w:lvlText w:val="•"/>
      <w:lvlJc w:val="left"/>
      <w:pPr>
        <w:tabs>
          <w:tab w:val="num" w:pos="5040"/>
        </w:tabs>
        <w:ind w:left="5040" w:hanging="360"/>
      </w:pPr>
      <w:rPr>
        <w:rFonts w:ascii="Arial" w:hAnsi="Arial" w:hint="default"/>
      </w:rPr>
    </w:lvl>
    <w:lvl w:ilvl="7" w:tplc="0CA43214" w:tentative="1">
      <w:start w:val="1"/>
      <w:numFmt w:val="bullet"/>
      <w:lvlText w:val="•"/>
      <w:lvlJc w:val="left"/>
      <w:pPr>
        <w:tabs>
          <w:tab w:val="num" w:pos="5760"/>
        </w:tabs>
        <w:ind w:left="5760" w:hanging="360"/>
      </w:pPr>
      <w:rPr>
        <w:rFonts w:ascii="Arial" w:hAnsi="Arial" w:hint="default"/>
      </w:rPr>
    </w:lvl>
    <w:lvl w:ilvl="8" w:tplc="80E2FA2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3E03B70"/>
    <w:multiLevelType w:val="hybridMultilevel"/>
    <w:tmpl w:val="ED2E8682"/>
    <w:lvl w:ilvl="0" w:tplc="9E0A886A">
      <w:start w:val="1"/>
      <w:numFmt w:val="bullet"/>
      <w:lvlText w:val="•"/>
      <w:lvlJc w:val="left"/>
      <w:pPr>
        <w:tabs>
          <w:tab w:val="num" w:pos="720"/>
        </w:tabs>
        <w:ind w:left="720" w:hanging="360"/>
      </w:pPr>
      <w:rPr>
        <w:rFonts w:ascii="Arial" w:hAnsi="Arial" w:hint="default"/>
      </w:rPr>
    </w:lvl>
    <w:lvl w:ilvl="1" w:tplc="AEEAC042" w:tentative="1">
      <w:start w:val="1"/>
      <w:numFmt w:val="bullet"/>
      <w:lvlText w:val="•"/>
      <w:lvlJc w:val="left"/>
      <w:pPr>
        <w:tabs>
          <w:tab w:val="num" w:pos="1440"/>
        </w:tabs>
        <w:ind w:left="1440" w:hanging="360"/>
      </w:pPr>
      <w:rPr>
        <w:rFonts w:ascii="Arial" w:hAnsi="Arial" w:hint="default"/>
      </w:rPr>
    </w:lvl>
    <w:lvl w:ilvl="2" w:tplc="1D70B16C" w:tentative="1">
      <w:start w:val="1"/>
      <w:numFmt w:val="bullet"/>
      <w:lvlText w:val="•"/>
      <w:lvlJc w:val="left"/>
      <w:pPr>
        <w:tabs>
          <w:tab w:val="num" w:pos="2160"/>
        </w:tabs>
        <w:ind w:left="2160" w:hanging="360"/>
      </w:pPr>
      <w:rPr>
        <w:rFonts w:ascii="Arial" w:hAnsi="Arial" w:hint="default"/>
      </w:rPr>
    </w:lvl>
    <w:lvl w:ilvl="3" w:tplc="308026BC" w:tentative="1">
      <w:start w:val="1"/>
      <w:numFmt w:val="bullet"/>
      <w:lvlText w:val="•"/>
      <w:lvlJc w:val="left"/>
      <w:pPr>
        <w:tabs>
          <w:tab w:val="num" w:pos="2880"/>
        </w:tabs>
        <w:ind w:left="2880" w:hanging="360"/>
      </w:pPr>
      <w:rPr>
        <w:rFonts w:ascii="Arial" w:hAnsi="Arial" w:hint="default"/>
      </w:rPr>
    </w:lvl>
    <w:lvl w:ilvl="4" w:tplc="76BC680C" w:tentative="1">
      <w:start w:val="1"/>
      <w:numFmt w:val="bullet"/>
      <w:lvlText w:val="•"/>
      <w:lvlJc w:val="left"/>
      <w:pPr>
        <w:tabs>
          <w:tab w:val="num" w:pos="3600"/>
        </w:tabs>
        <w:ind w:left="3600" w:hanging="360"/>
      </w:pPr>
      <w:rPr>
        <w:rFonts w:ascii="Arial" w:hAnsi="Arial" w:hint="default"/>
      </w:rPr>
    </w:lvl>
    <w:lvl w:ilvl="5" w:tplc="F7565E96" w:tentative="1">
      <w:start w:val="1"/>
      <w:numFmt w:val="bullet"/>
      <w:lvlText w:val="•"/>
      <w:lvlJc w:val="left"/>
      <w:pPr>
        <w:tabs>
          <w:tab w:val="num" w:pos="4320"/>
        </w:tabs>
        <w:ind w:left="4320" w:hanging="360"/>
      </w:pPr>
      <w:rPr>
        <w:rFonts w:ascii="Arial" w:hAnsi="Arial" w:hint="default"/>
      </w:rPr>
    </w:lvl>
    <w:lvl w:ilvl="6" w:tplc="2DBCE4DA" w:tentative="1">
      <w:start w:val="1"/>
      <w:numFmt w:val="bullet"/>
      <w:lvlText w:val="•"/>
      <w:lvlJc w:val="left"/>
      <w:pPr>
        <w:tabs>
          <w:tab w:val="num" w:pos="5040"/>
        </w:tabs>
        <w:ind w:left="5040" w:hanging="360"/>
      </w:pPr>
      <w:rPr>
        <w:rFonts w:ascii="Arial" w:hAnsi="Arial" w:hint="default"/>
      </w:rPr>
    </w:lvl>
    <w:lvl w:ilvl="7" w:tplc="22E4C5C4" w:tentative="1">
      <w:start w:val="1"/>
      <w:numFmt w:val="bullet"/>
      <w:lvlText w:val="•"/>
      <w:lvlJc w:val="left"/>
      <w:pPr>
        <w:tabs>
          <w:tab w:val="num" w:pos="5760"/>
        </w:tabs>
        <w:ind w:left="5760" w:hanging="360"/>
      </w:pPr>
      <w:rPr>
        <w:rFonts w:ascii="Arial" w:hAnsi="Arial" w:hint="default"/>
      </w:rPr>
    </w:lvl>
    <w:lvl w:ilvl="8" w:tplc="8E68B39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38D13EE"/>
    <w:multiLevelType w:val="hybridMultilevel"/>
    <w:tmpl w:val="695C6778"/>
    <w:lvl w:ilvl="0" w:tplc="DA1C115E">
      <w:start w:val="1"/>
      <w:numFmt w:val="bullet"/>
      <w:lvlText w:val="•"/>
      <w:lvlJc w:val="left"/>
      <w:pPr>
        <w:tabs>
          <w:tab w:val="num" w:pos="720"/>
        </w:tabs>
        <w:ind w:left="720" w:hanging="360"/>
      </w:pPr>
      <w:rPr>
        <w:rFonts w:ascii="Arial" w:hAnsi="Arial" w:hint="default"/>
      </w:rPr>
    </w:lvl>
    <w:lvl w:ilvl="1" w:tplc="96C0C6BA" w:tentative="1">
      <w:start w:val="1"/>
      <w:numFmt w:val="bullet"/>
      <w:lvlText w:val="•"/>
      <w:lvlJc w:val="left"/>
      <w:pPr>
        <w:tabs>
          <w:tab w:val="num" w:pos="1440"/>
        </w:tabs>
        <w:ind w:left="1440" w:hanging="360"/>
      </w:pPr>
      <w:rPr>
        <w:rFonts w:ascii="Arial" w:hAnsi="Arial" w:hint="default"/>
      </w:rPr>
    </w:lvl>
    <w:lvl w:ilvl="2" w:tplc="78ACD2DE" w:tentative="1">
      <w:start w:val="1"/>
      <w:numFmt w:val="bullet"/>
      <w:lvlText w:val="•"/>
      <w:lvlJc w:val="left"/>
      <w:pPr>
        <w:tabs>
          <w:tab w:val="num" w:pos="2160"/>
        </w:tabs>
        <w:ind w:left="2160" w:hanging="360"/>
      </w:pPr>
      <w:rPr>
        <w:rFonts w:ascii="Arial" w:hAnsi="Arial" w:hint="default"/>
      </w:rPr>
    </w:lvl>
    <w:lvl w:ilvl="3" w:tplc="34702348" w:tentative="1">
      <w:start w:val="1"/>
      <w:numFmt w:val="bullet"/>
      <w:lvlText w:val="•"/>
      <w:lvlJc w:val="left"/>
      <w:pPr>
        <w:tabs>
          <w:tab w:val="num" w:pos="2880"/>
        </w:tabs>
        <w:ind w:left="2880" w:hanging="360"/>
      </w:pPr>
      <w:rPr>
        <w:rFonts w:ascii="Arial" w:hAnsi="Arial" w:hint="default"/>
      </w:rPr>
    </w:lvl>
    <w:lvl w:ilvl="4" w:tplc="F7284C62" w:tentative="1">
      <w:start w:val="1"/>
      <w:numFmt w:val="bullet"/>
      <w:lvlText w:val="•"/>
      <w:lvlJc w:val="left"/>
      <w:pPr>
        <w:tabs>
          <w:tab w:val="num" w:pos="3600"/>
        </w:tabs>
        <w:ind w:left="3600" w:hanging="360"/>
      </w:pPr>
      <w:rPr>
        <w:rFonts w:ascii="Arial" w:hAnsi="Arial" w:hint="default"/>
      </w:rPr>
    </w:lvl>
    <w:lvl w:ilvl="5" w:tplc="C3BA3854" w:tentative="1">
      <w:start w:val="1"/>
      <w:numFmt w:val="bullet"/>
      <w:lvlText w:val="•"/>
      <w:lvlJc w:val="left"/>
      <w:pPr>
        <w:tabs>
          <w:tab w:val="num" w:pos="4320"/>
        </w:tabs>
        <w:ind w:left="4320" w:hanging="360"/>
      </w:pPr>
      <w:rPr>
        <w:rFonts w:ascii="Arial" w:hAnsi="Arial" w:hint="default"/>
      </w:rPr>
    </w:lvl>
    <w:lvl w:ilvl="6" w:tplc="4CDABA36" w:tentative="1">
      <w:start w:val="1"/>
      <w:numFmt w:val="bullet"/>
      <w:lvlText w:val="•"/>
      <w:lvlJc w:val="left"/>
      <w:pPr>
        <w:tabs>
          <w:tab w:val="num" w:pos="5040"/>
        </w:tabs>
        <w:ind w:left="5040" w:hanging="360"/>
      </w:pPr>
      <w:rPr>
        <w:rFonts w:ascii="Arial" w:hAnsi="Arial" w:hint="default"/>
      </w:rPr>
    </w:lvl>
    <w:lvl w:ilvl="7" w:tplc="35624B2A" w:tentative="1">
      <w:start w:val="1"/>
      <w:numFmt w:val="bullet"/>
      <w:lvlText w:val="•"/>
      <w:lvlJc w:val="left"/>
      <w:pPr>
        <w:tabs>
          <w:tab w:val="num" w:pos="5760"/>
        </w:tabs>
        <w:ind w:left="5760" w:hanging="360"/>
      </w:pPr>
      <w:rPr>
        <w:rFonts w:ascii="Arial" w:hAnsi="Arial" w:hint="default"/>
      </w:rPr>
    </w:lvl>
    <w:lvl w:ilvl="8" w:tplc="FA32E39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5E50A9F"/>
    <w:multiLevelType w:val="hybridMultilevel"/>
    <w:tmpl w:val="284C66A0"/>
    <w:lvl w:ilvl="0" w:tplc="72F82414">
      <w:start w:val="1"/>
      <w:numFmt w:val="bullet"/>
      <w:lvlText w:val="•"/>
      <w:lvlJc w:val="left"/>
      <w:pPr>
        <w:tabs>
          <w:tab w:val="num" w:pos="720"/>
        </w:tabs>
        <w:ind w:left="720" w:hanging="360"/>
      </w:pPr>
      <w:rPr>
        <w:rFonts w:ascii="Arial" w:hAnsi="Arial" w:hint="default"/>
      </w:rPr>
    </w:lvl>
    <w:lvl w:ilvl="1" w:tplc="848C816E" w:tentative="1">
      <w:start w:val="1"/>
      <w:numFmt w:val="bullet"/>
      <w:lvlText w:val="•"/>
      <w:lvlJc w:val="left"/>
      <w:pPr>
        <w:tabs>
          <w:tab w:val="num" w:pos="1440"/>
        </w:tabs>
        <w:ind w:left="1440" w:hanging="360"/>
      </w:pPr>
      <w:rPr>
        <w:rFonts w:ascii="Arial" w:hAnsi="Arial" w:hint="default"/>
      </w:rPr>
    </w:lvl>
    <w:lvl w:ilvl="2" w:tplc="EE6C6844" w:tentative="1">
      <w:start w:val="1"/>
      <w:numFmt w:val="bullet"/>
      <w:lvlText w:val="•"/>
      <w:lvlJc w:val="left"/>
      <w:pPr>
        <w:tabs>
          <w:tab w:val="num" w:pos="2160"/>
        </w:tabs>
        <w:ind w:left="2160" w:hanging="360"/>
      </w:pPr>
      <w:rPr>
        <w:rFonts w:ascii="Arial" w:hAnsi="Arial" w:hint="default"/>
      </w:rPr>
    </w:lvl>
    <w:lvl w:ilvl="3" w:tplc="6D9C7A3E" w:tentative="1">
      <w:start w:val="1"/>
      <w:numFmt w:val="bullet"/>
      <w:lvlText w:val="•"/>
      <w:lvlJc w:val="left"/>
      <w:pPr>
        <w:tabs>
          <w:tab w:val="num" w:pos="2880"/>
        </w:tabs>
        <w:ind w:left="2880" w:hanging="360"/>
      </w:pPr>
      <w:rPr>
        <w:rFonts w:ascii="Arial" w:hAnsi="Arial" w:hint="default"/>
      </w:rPr>
    </w:lvl>
    <w:lvl w:ilvl="4" w:tplc="2BB64524" w:tentative="1">
      <w:start w:val="1"/>
      <w:numFmt w:val="bullet"/>
      <w:lvlText w:val="•"/>
      <w:lvlJc w:val="left"/>
      <w:pPr>
        <w:tabs>
          <w:tab w:val="num" w:pos="3600"/>
        </w:tabs>
        <w:ind w:left="3600" w:hanging="360"/>
      </w:pPr>
      <w:rPr>
        <w:rFonts w:ascii="Arial" w:hAnsi="Arial" w:hint="default"/>
      </w:rPr>
    </w:lvl>
    <w:lvl w:ilvl="5" w:tplc="CA7ECF6A" w:tentative="1">
      <w:start w:val="1"/>
      <w:numFmt w:val="bullet"/>
      <w:lvlText w:val="•"/>
      <w:lvlJc w:val="left"/>
      <w:pPr>
        <w:tabs>
          <w:tab w:val="num" w:pos="4320"/>
        </w:tabs>
        <w:ind w:left="4320" w:hanging="360"/>
      </w:pPr>
      <w:rPr>
        <w:rFonts w:ascii="Arial" w:hAnsi="Arial" w:hint="default"/>
      </w:rPr>
    </w:lvl>
    <w:lvl w:ilvl="6" w:tplc="8B082C2A" w:tentative="1">
      <w:start w:val="1"/>
      <w:numFmt w:val="bullet"/>
      <w:lvlText w:val="•"/>
      <w:lvlJc w:val="left"/>
      <w:pPr>
        <w:tabs>
          <w:tab w:val="num" w:pos="5040"/>
        </w:tabs>
        <w:ind w:left="5040" w:hanging="360"/>
      </w:pPr>
      <w:rPr>
        <w:rFonts w:ascii="Arial" w:hAnsi="Arial" w:hint="default"/>
      </w:rPr>
    </w:lvl>
    <w:lvl w:ilvl="7" w:tplc="8CAC29EC" w:tentative="1">
      <w:start w:val="1"/>
      <w:numFmt w:val="bullet"/>
      <w:lvlText w:val="•"/>
      <w:lvlJc w:val="left"/>
      <w:pPr>
        <w:tabs>
          <w:tab w:val="num" w:pos="5760"/>
        </w:tabs>
        <w:ind w:left="5760" w:hanging="360"/>
      </w:pPr>
      <w:rPr>
        <w:rFonts w:ascii="Arial" w:hAnsi="Arial" w:hint="default"/>
      </w:rPr>
    </w:lvl>
    <w:lvl w:ilvl="8" w:tplc="925416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497481A"/>
    <w:multiLevelType w:val="hybridMultilevel"/>
    <w:tmpl w:val="8D767AB6"/>
    <w:lvl w:ilvl="0" w:tplc="FA286362">
      <w:start w:val="1"/>
      <w:numFmt w:val="bullet"/>
      <w:lvlText w:val="•"/>
      <w:lvlJc w:val="left"/>
      <w:pPr>
        <w:tabs>
          <w:tab w:val="num" w:pos="720"/>
        </w:tabs>
        <w:ind w:left="720" w:hanging="360"/>
      </w:pPr>
      <w:rPr>
        <w:rFonts w:ascii="Arial" w:hAnsi="Arial" w:hint="default"/>
      </w:rPr>
    </w:lvl>
    <w:lvl w:ilvl="1" w:tplc="05444F8C" w:tentative="1">
      <w:start w:val="1"/>
      <w:numFmt w:val="bullet"/>
      <w:lvlText w:val="•"/>
      <w:lvlJc w:val="left"/>
      <w:pPr>
        <w:tabs>
          <w:tab w:val="num" w:pos="1440"/>
        </w:tabs>
        <w:ind w:left="1440" w:hanging="360"/>
      </w:pPr>
      <w:rPr>
        <w:rFonts w:ascii="Arial" w:hAnsi="Arial" w:hint="default"/>
      </w:rPr>
    </w:lvl>
    <w:lvl w:ilvl="2" w:tplc="40DED572" w:tentative="1">
      <w:start w:val="1"/>
      <w:numFmt w:val="bullet"/>
      <w:lvlText w:val="•"/>
      <w:lvlJc w:val="left"/>
      <w:pPr>
        <w:tabs>
          <w:tab w:val="num" w:pos="2160"/>
        </w:tabs>
        <w:ind w:left="2160" w:hanging="360"/>
      </w:pPr>
      <w:rPr>
        <w:rFonts w:ascii="Arial" w:hAnsi="Arial" w:hint="default"/>
      </w:rPr>
    </w:lvl>
    <w:lvl w:ilvl="3" w:tplc="37D2BCCE" w:tentative="1">
      <w:start w:val="1"/>
      <w:numFmt w:val="bullet"/>
      <w:lvlText w:val="•"/>
      <w:lvlJc w:val="left"/>
      <w:pPr>
        <w:tabs>
          <w:tab w:val="num" w:pos="2880"/>
        </w:tabs>
        <w:ind w:left="2880" w:hanging="360"/>
      </w:pPr>
      <w:rPr>
        <w:rFonts w:ascii="Arial" w:hAnsi="Arial" w:hint="default"/>
      </w:rPr>
    </w:lvl>
    <w:lvl w:ilvl="4" w:tplc="B3AE9598" w:tentative="1">
      <w:start w:val="1"/>
      <w:numFmt w:val="bullet"/>
      <w:lvlText w:val="•"/>
      <w:lvlJc w:val="left"/>
      <w:pPr>
        <w:tabs>
          <w:tab w:val="num" w:pos="3600"/>
        </w:tabs>
        <w:ind w:left="3600" w:hanging="360"/>
      </w:pPr>
      <w:rPr>
        <w:rFonts w:ascii="Arial" w:hAnsi="Arial" w:hint="default"/>
      </w:rPr>
    </w:lvl>
    <w:lvl w:ilvl="5" w:tplc="645A4CAE" w:tentative="1">
      <w:start w:val="1"/>
      <w:numFmt w:val="bullet"/>
      <w:lvlText w:val="•"/>
      <w:lvlJc w:val="left"/>
      <w:pPr>
        <w:tabs>
          <w:tab w:val="num" w:pos="4320"/>
        </w:tabs>
        <w:ind w:left="4320" w:hanging="360"/>
      </w:pPr>
      <w:rPr>
        <w:rFonts w:ascii="Arial" w:hAnsi="Arial" w:hint="default"/>
      </w:rPr>
    </w:lvl>
    <w:lvl w:ilvl="6" w:tplc="260AC722" w:tentative="1">
      <w:start w:val="1"/>
      <w:numFmt w:val="bullet"/>
      <w:lvlText w:val="•"/>
      <w:lvlJc w:val="left"/>
      <w:pPr>
        <w:tabs>
          <w:tab w:val="num" w:pos="5040"/>
        </w:tabs>
        <w:ind w:left="5040" w:hanging="360"/>
      </w:pPr>
      <w:rPr>
        <w:rFonts w:ascii="Arial" w:hAnsi="Arial" w:hint="default"/>
      </w:rPr>
    </w:lvl>
    <w:lvl w:ilvl="7" w:tplc="143C866A" w:tentative="1">
      <w:start w:val="1"/>
      <w:numFmt w:val="bullet"/>
      <w:lvlText w:val="•"/>
      <w:lvlJc w:val="left"/>
      <w:pPr>
        <w:tabs>
          <w:tab w:val="num" w:pos="5760"/>
        </w:tabs>
        <w:ind w:left="5760" w:hanging="360"/>
      </w:pPr>
      <w:rPr>
        <w:rFonts w:ascii="Arial" w:hAnsi="Arial" w:hint="default"/>
      </w:rPr>
    </w:lvl>
    <w:lvl w:ilvl="8" w:tplc="F9EA46E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C762DA5"/>
    <w:multiLevelType w:val="hybridMultilevel"/>
    <w:tmpl w:val="8FC4D13A"/>
    <w:lvl w:ilvl="0" w:tplc="26AC12D4">
      <w:start w:val="1"/>
      <w:numFmt w:val="bullet"/>
      <w:lvlText w:val="•"/>
      <w:lvlJc w:val="left"/>
      <w:pPr>
        <w:tabs>
          <w:tab w:val="num" w:pos="720"/>
        </w:tabs>
        <w:ind w:left="720" w:hanging="360"/>
      </w:pPr>
      <w:rPr>
        <w:rFonts w:ascii="Arial" w:hAnsi="Arial" w:hint="default"/>
      </w:rPr>
    </w:lvl>
    <w:lvl w:ilvl="1" w:tplc="968AC748" w:tentative="1">
      <w:start w:val="1"/>
      <w:numFmt w:val="bullet"/>
      <w:lvlText w:val="•"/>
      <w:lvlJc w:val="left"/>
      <w:pPr>
        <w:tabs>
          <w:tab w:val="num" w:pos="1440"/>
        </w:tabs>
        <w:ind w:left="1440" w:hanging="360"/>
      </w:pPr>
      <w:rPr>
        <w:rFonts w:ascii="Arial" w:hAnsi="Arial" w:hint="default"/>
      </w:rPr>
    </w:lvl>
    <w:lvl w:ilvl="2" w:tplc="8E0275DE" w:tentative="1">
      <w:start w:val="1"/>
      <w:numFmt w:val="bullet"/>
      <w:lvlText w:val="•"/>
      <w:lvlJc w:val="left"/>
      <w:pPr>
        <w:tabs>
          <w:tab w:val="num" w:pos="2160"/>
        </w:tabs>
        <w:ind w:left="2160" w:hanging="360"/>
      </w:pPr>
      <w:rPr>
        <w:rFonts w:ascii="Arial" w:hAnsi="Arial" w:hint="default"/>
      </w:rPr>
    </w:lvl>
    <w:lvl w:ilvl="3" w:tplc="3E2CA9A6" w:tentative="1">
      <w:start w:val="1"/>
      <w:numFmt w:val="bullet"/>
      <w:lvlText w:val="•"/>
      <w:lvlJc w:val="left"/>
      <w:pPr>
        <w:tabs>
          <w:tab w:val="num" w:pos="2880"/>
        </w:tabs>
        <w:ind w:left="2880" w:hanging="360"/>
      </w:pPr>
      <w:rPr>
        <w:rFonts w:ascii="Arial" w:hAnsi="Arial" w:hint="default"/>
      </w:rPr>
    </w:lvl>
    <w:lvl w:ilvl="4" w:tplc="DD489102" w:tentative="1">
      <w:start w:val="1"/>
      <w:numFmt w:val="bullet"/>
      <w:lvlText w:val="•"/>
      <w:lvlJc w:val="left"/>
      <w:pPr>
        <w:tabs>
          <w:tab w:val="num" w:pos="3600"/>
        </w:tabs>
        <w:ind w:left="3600" w:hanging="360"/>
      </w:pPr>
      <w:rPr>
        <w:rFonts w:ascii="Arial" w:hAnsi="Arial" w:hint="default"/>
      </w:rPr>
    </w:lvl>
    <w:lvl w:ilvl="5" w:tplc="A1524174" w:tentative="1">
      <w:start w:val="1"/>
      <w:numFmt w:val="bullet"/>
      <w:lvlText w:val="•"/>
      <w:lvlJc w:val="left"/>
      <w:pPr>
        <w:tabs>
          <w:tab w:val="num" w:pos="4320"/>
        </w:tabs>
        <w:ind w:left="4320" w:hanging="360"/>
      </w:pPr>
      <w:rPr>
        <w:rFonts w:ascii="Arial" w:hAnsi="Arial" w:hint="default"/>
      </w:rPr>
    </w:lvl>
    <w:lvl w:ilvl="6" w:tplc="84C26BB2" w:tentative="1">
      <w:start w:val="1"/>
      <w:numFmt w:val="bullet"/>
      <w:lvlText w:val="•"/>
      <w:lvlJc w:val="left"/>
      <w:pPr>
        <w:tabs>
          <w:tab w:val="num" w:pos="5040"/>
        </w:tabs>
        <w:ind w:left="5040" w:hanging="360"/>
      </w:pPr>
      <w:rPr>
        <w:rFonts w:ascii="Arial" w:hAnsi="Arial" w:hint="default"/>
      </w:rPr>
    </w:lvl>
    <w:lvl w:ilvl="7" w:tplc="F1841F90" w:tentative="1">
      <w:start w:val="1"/>
      <w:numFmt w:val="bullet"/>
      <w:lvlText w:val="•"/>
      <w:lvlJc w:val="left"/>
      <w:pPr>
        <w:tabs>
          <w:tab w:val="num" w:pos="5760"/>
        </w:tabs>
        <w:ind w:left="5760" w:hanging="360"/>
      </w:pPr>
      <w:rPr>
        <w:rFonts w:ascii="Arial" w:hAnsi="Arial" w:hint="default"/>
      </w:rPr>
    </w:lvl>
    <w:lvl w:ilvl="8" w:tplc="5942C27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DD4047C"/>
    <w:multiLevelType w:val="hybridMultilevel"/>
    <w:tmpl w:val="7A769FE2"/>
    <w:lvl w:ilvl="0" w:tplc="0CD2152E">
      <w:start w:val="1"/>
      <w:numFmt w:val="bullet"/>
      <w:lvlText w:val="•"/>
      <w:lvlJc w:val="left"/>
      <w:pPr>
        <w:tabs>
          <w:tab w:val="num" w:pos="720"/>
        </w:tabs>
        <w:ind w:left="720" w:hanging="360"/>
      </w:pPr>
      <w:rPr>
        <w:rFonts w:ascii="Arial" w:hAnsi="Arial" w:hint="default"/>
      </w:rPr>
    </w:lvl>
    <w:lvl w:ilvl="1" w:tplc="C492CCE2" w:tentative="1">
      <w:start w:val="1"/>
      <w:numFmt w:val="bullet"/>
      <w:lvlText w:val="•"/>
      <w:lvlJc w:val="left"/>
      <w:pPr>
        <w:tabs>
          <w:tab w:val="num" w:pos="1440"/>
        </w:tabs>
        <w:ind w:left="1440" w:hanging="360"/>
      </w:pPr>
      <w:rPr>
        <w:rFonts w:ascii="Arial" w:hAnsi="Arial" w:hint="default"/>
      </w:rPr>
    </w:lvl>
    <w:lvl w:ilvl="2" w:tplc="71AC62A4" w:tentative="1">
      <w:start w:val="1"/>
      <w:numFmt w:val="bullet"/>
      <w:lvlText w:val="•"/>
      <w:lvlJc w:val="left"/>
      <w:pPr>
        <w:tabs>
          <w:tab w:val="num" w:pos="2160"/>
        </w:tabs>
        <w:ind w:left="2160" w:hanging="360"/>
      </w:pPr>
      <w:rPr>
        <w:rFonts w:ascii="Arial" w:hAnsi="Arial" w:hint="default"/>
      </w:rPr>
    </w:lvl>
    <w:lvl w:ilvl="3" w:tplc="8B7821A0" w:tentative="1">
      <w:start w:val="1"/>
      <w:numFmt w:val="bullet"/>
      <w:lvlText w:val="•"/>
      <w:lvlJc w:val="left"/>
      <w:pPr>
        <w:tabs>
          <w:tab w:val="num" w:pos="2880"/>
        </w:tabs>
        <w:ind w:left="2880" w:hanging="360"/>
      </w:pPr>
      <w:rPr>
        <w:rFonts w:ascii="Arial" w:hAnsi="Arial" w:hint="default"/>
      </w:rPr>
    </w:lvl>
    <w:lvl w:ilvl="4" w:tplc="7FF2CC2C" w:tentative="1">
      <w:start w:val="1"/>
      <w:numFmt w:val="bullet"/>
      <w:lvlText w:val="•"/>
      <w:lvlJc w:val="left"/>
      <w:pPr>
        <w:tabs>
          <w:tab w:val="num" w:pos="3600"/>
        </w:tabs>
        <w:ind w:left="3600" w:hanging="360"/>
      </w:pPr>
      <w:rPr>
        <w:rFonts w:ascii="Arial" w:hAnsi="Arial" w:hint="default"/>
      </w:rPr>
    </w:lvl>
    <w:lvl w:ilvl="5" w:tplc="34029DD8" w:tentative="1">
      <w:start w:val="1"/>
      <w:numFmt w:val="bullet"/>
      <w:lvlText w:val="•"/>
      <w:lvlJc w:val="left"/>
      <w:pPr>
        <w:tabs>
          <w:tab w:val="num" w:pos="4320"/>
        </w:tabs>
        <w:ind w:left="4320" w:hanging="360"/>
      </w:pPr>
      <w:rPr>
        <w:rFonts w:ascii="Arial" w:hAnsi="Arial" w:hint="default"/>
      </w:rPr>
    </w:lvl>
    <w:lvl w:ilvl="6" w:tplc="EADC7FD0" w:tentative="1">
      <w:start w:val="1"/>
      <w:numFmt w:val="bullet"/>
      <w:lvlText w:val="•"/>
      <w:lvlJc w:val="left"/>
      <w:pPr>
        <w:tabs>
          <w:tab w:val="num" w:pos="5040"/>
        </w:tabs>
        <w:ind w:left="5040" w:hanging="360"/>
      </w:pPr>
      <w:rPr>
        <w:rFonts w:ascii="Arial" w:hAnsi="Arial" w:hint="default"/>
      </w:rPr>
    </w:lvl>
    <w:lvl w:ilvl="7" w:tplc="E81ABC96" w:tentative="1">
      <w:start w:val="1"/>
      <w:numFmt w:val="bullet"/>
      <w:lvlText w:val="•"/>
      <w:lvlJc w:val="left"/>
      <w:pPr>
        <w:tabs>
          <w:tab w:val="num" w:pos="5760"/>
        </w:tabs>
        <w:ind w:left="5760" w:hanging="360"/>
      </w:pPr>
      <w:rPr>
        <w:rFonts w:ascii="Arial" w:hAnsi="Arial" w:hint="default"/>
      </w:rPr>
    </w:lvl>
    <w:lvl w:ilvl="8" w:tplc="7A84889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7"/>
  </w:num>
  <w:num w:numId="3">
    <w:abstractNumId w:val="10"/>
  </w:num>
  <w:num w:numId="4">
    <w:abstractNumId w:val="11"/>
  </w:num>
  <w:num w:numId="5">
    <w:abstractNumId w:val="5"/>
  </w:num>
  <w:num w:numId="6">
    <w:abstractNumId w:val="9"/>
  </w:num>
  <w:num w:numId="7">
    <w:abstractNumId w:val="4"/>
  </w:num>
  <w:num w:numId="8">
    <w:abstractNumId w:val="8"/>
  </w:num>
  <w:num w:numId="9">
    <w:abstractNumId w:val="2"/>
  </w:num>
  <w:num w:numId="10">
    <w:abstractNumId w:val="6"/>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BC6"/>
    <w:rsid w:val="00315F9A"/>
    <w:rsid w:val="00561BC6"/>
    <w:rsid w:val="00711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0407"/>
  <w15:chartTrackingRefBased/>
  <w15:docId w15:val="{7CCAC6A1-93DF-40BF-B414-5F2F1E1B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859194">
      <w:bodyDiv w:val="1"/>
      <w:marLeft w:val="0"/>
      <w:marRight w:val="0"/>
      <w:marTop w:val="0"/>
      <w:marBottom w:val="0"/>
      <w:divBdr>
        <w:top w:val="none" w:sz="0" w:space="0" w:color="auto"/>
        <w:left w:val="none" w:sz="0" w:space="0" w:color="auto"/>
        <w:bottom w:val="none" w:sz="0" w:space="0" w:color="auto"/>
        <w:right w:val="none" w:sz="0" w:space="0" w:color="auto"/>
      </w:divBdr>
      <w:divsChild>
        <w:div w:id="1213150932">
          <w:marLeft w:val="274"/>
          <w:marRight w:val="0"/>
          <w:marTop w:val="0"/>
          <w:marBottom w:val="0"/>
          <w:divBdr>
            <w:top w:val="none" w:sz="0" w:space="0" w:color="auto"/>
            <w:left w:val="none" w:sz="0" w:space="0" w:color="auto"/>
            <w:bottom w:val="none" w:sz="0" w:space="0" w:color="auto"/>
            <w:right w:val="none" w:sz="0" w:space="0" w:color="auto"/>
          </w:divBdr>
        </w:div>
      </w:divsChild>
    </w:div>
    <w:div w:id="310334581">
      <w:bodyDiv w:val="1"/>
      <w:marLeft w:val="0"/>
      <w:marRight w:val="0"/>
      <w:marTop w:val="0"/>
      <w:marBottom w:val="0"/>
      <w:divBdr>
        <w:top w:val="none" w:sz="0" w:space="0" w:color="auto"/>
        <w:left w:val="none" w:sz="0" w:space="0" w:color="auto"/>
        <w:bottom w:val="none" w:sz="0" w:space="0" w:color="auto"/>
        <w:right w:val="none" w:sz="0" w:space="0" w:color="auto"/>
      </w:divBdr>
    </w:div>
    <w:div w:id="342784103">
      <w:bodyDiv w:val="1"/>
      <w:marLeft w:val="0"/>
      <w:marRight w:val="0"/>
      <w:marTop w:val="0"/>
      <w:marBottom w:val="0"/>
      <w:divBdr>
        <w:top w:val="none" w:sz="0" w:space="0" w:color="auto"/>
        <w:left w:val="none" w:sz="0" w:space="0" w:color="auto"/>
        <w:bottom w:val="none" w:sz="0" w:space="0" w:color="auto"/>
        <w:right w:val="none" w:sz="0" w:space="0" w:color="auto"/>
      </w:divBdr>
      <w:divsChild>
        <w:div w:id="210577909">
          <w:marLeft w:val="274"/>
          <w:marRight w:val="0"/>
          <w:marTop w:val="0"/>
          <w:marBottom w:val="0"/>
          <w:divBdr>
            <w:top w:val="none" w:sz="0" w:space="0" w:color="auto"/>
            <w:left w:val="none" w:sz="0" w:space="0" w:color="auto"/>
            <w:bottom w:val="none" w:sz="0" w:space="0" w:color="auto"/>
            <w:right w:val="none" w:sz="0" w:space="0" w:color="auto"/>
          </w:divBdr>
        </w:div>
        <w:div w:id="426855324">
          <w:marLeft w:val="274"/>
          <w:marRight w:val="0"/>
          <w:marTop w:val="0"/>
          <w:marBottom w:val="0"/>
          <w:divBdr>
            <w:top w:val="none" w:sz="0" w:space="0" w:color="auto"/>
            <w:left w:val="none" w:sz="0" w:space="0" w:color="auto"/>
            <w:bottom w:val="none" w:sz="0" w:space="0" w:color="auto"/>
            <w:right w:val="none" w:sz="0" w:space="0" w:color="auto"/>
          </w:divBdr>
        </w:div>
        <w:div w:id="1851026389">
          <w:marLeft w:val="274"/>
          <w:marRight w:val="0"/>
          <w:marTop w:val="0"/>
          <w:marBottom w:val="0"/>
          <w:divBdr>
            <w:top w:val="none" w:sz="0" w:space="0" w:color="auto"/>
            <w:left w:val="none" w:sz="0" w:space="0" w:color="auto"/>
            <w:bottom w:val="none" w:sz="0" w:space="0" w:color="auto"/>
            <w:right w:val="none" w:sz="0" w:space="0" w:color="auto"/>
          </w:divBdr>
        </w:div>
        <w:div w:id="873882495">
          <w:marLeft w:val="274"/>
          <w:marRight w:val="0"/>
          <w:marTop w:val="0"/>
          <w:marBottom w:val="0"/>
          <w:divBdr>
            <w:top w:val="none" w:sz="0" w:space="0" w:color="auto"/>
            <w:left w:val="none" w:sz="0" w:space="0" w:color="auto"/>
            <w:bottom w:val="none" w:sz="0" w:space="0" w:color="auto"/>
            <w:right w:val="none" w:sz="0" w:space="0" w:color="auto"/>
          </w:divBdr>
        </w:div>
      </w:divsChild>
    </w:div>
    <w:div w:id="400173378">
      <w:bodyDiv w:val="1"/>
      <w:marLeft w:val="0"/>
      <w:marRight w:val="0"/>
      <w:marTop w:val="0"/>
      <w:marBottom w:val="0"/>
      <w:divBdr>
        <w:top w:val="none" w:sz="0" w:space="0" w:color="auto"/>
        <w:left w:val="none" w:sz="0" w:space="0" w:color="auto"/>
        <w:bottom w:val="none" w:sz="0" w:space="0" w:color="auto"/>
        <w:right w:val="none" w:sz="0" w:space="0" w:color="auto"/>
      </w:divBdr>
    </w:div>
    <w:div w:id="481197511">
      <w:bodyDiv w:val="1"/>
      <w:marLeft w:val="0"/>
      <w:marRight w:val="0"/>
      <w:marTop w:val="0"/>
      <w:marBottom w:val="0"/>
      <w:divBdr>
        <w:top w:val="none" w:sz="0" w:space="0" w:color="auto"/>
        <w:left w:val="none" w:sz="0" w:space="0" w:color="auto"/>
        <w:bottom w:val="none" w:sz="0" w:space="0" w:color="auto"/>
        <w:right w:val="none" w:sz="0" w:space="0" w:color="auto"/>
      </w:divBdr>
    </w:div>
    <w:div w:id="542716819">
      <w:bodyDiv w:val="1"/>
      <w:marLeft w:val="0"/>
      <w:marRight w:val="0"/>
      <w:marTop w:val="0"/>
      <w:marBottom w:val="0"/>
      <w:divBdr>
        <w:top w:val="none" w:sz="0" w:space="0" w:color="auto"/>
        <w:left w:val="none" w:sz="0" w:space="0" w:color="auto"/>
        <w:bottom w:val="none" w:sz="0" w:space="0" w:color="auto"/>
        <w:right w:val="none" w:sz="0" w:space="0" w:color="auto"/>
      </w:divBdr>
    </w:div>
    <w:div w:id="900138719">
      <w:bodyDiv w:val="1"/>
      <w:marLeft w:val="0"/>
      <w:marRight w:val="0"/>
      <w:marTop w:val="0"/>
      <w:marBottom w:val="0"/>
      <w:divBdr>
        <w:top w:val="none" w:sz="0" w:space="0" w:color="auto"/>
        <w:left w:val="none" w:sz="0" w:space="0" w:color="auto"/>
        <w:bottom w:val="none" w:sz="0" w:space="0" w:color="auto"/>
        <w:right w:val="none" w:sz="0" w:space="0" w:color="auto"/>
      </w:divBdr>
      <w:divsChild>
        <w:div w:id="1894383924">
          <w:marLeft w:val="274"/>
          <w:marRight w:val="0"/>
          <w:marTop w:val="0"/>
          <w:marBottom w:val="160"/>
          <w:divBdr>
            <w:top w:val="none" w:sz="0" w:space="0" w:color="auto"/>
            <w:left w:val="none" w:sz="0" w:space="0" w:color="auto"/>
            <w:bottom w:val="none" w:sz="0" w:space="0" w:color="auto"/>
            <w:right w:val="none" w:sz="0" w:space="0" w:color="auto"/>
          </w:divBdr>
        </w:div>
        <w:div w:id="1496219173">
          <w:marLeft w:val="274"/>
          <w:marRight w:val="0"/>
          <w:marTop w:val="0"/>
          <w:marBottom w:val="160"/>
          <w:divBdr>
            <w:top w:val="none" w:sz="0" w:space="0" w:color="auto"/>
            <w:left w:val="none" w:sz="0" w:space="0" w:color="auto"/>
            <w:bottom w:val="none" w:sz="0" w:space="0" w:color="auto"/>
            <w:right w:val="none" w:sz="0" w:space="0" w:color="auto"/>
          </w:divBdr>
        </w:div>
        <w:div w:id="81878317">
          <w:marLeft w:val="274"/>
          <w:marRight w:val="0"/>
          <w:marTop w:val="0"/>
          <w:marBottom w:val="160"/>
          <w:divBdr>
            <w:top w:val="none" w:sz="0" w:space="0" w:color="auto"/>
            <w:left w:val="none" w:sz="0" w:space="0" w:color="auto"/>
            <w:bottom w:val="none" w:sz="0" w:space="0" w:color="auto"/>
            <w:right w:val="none" w:sz="0" w:space="0" w:color="auto"/>
          </w:divBdr>
        </w:div>
      </w:divsChild>
    </w:div>
    <w:div w:id="1020663321">
      <w:bodyDiv w:val="1"/>
      <w:marLeft w:val="0"/>
      <w:marRight w:val="0"/>
      <w:marTop w:val="0"/>
      <w:marBottom w:val="0"/>
      <w:divBdr>
        <w:top w:val="none" w:sz="0" w:space="0" w:color="auto"/>
        <w:left w:val="none" w:sz="0" w:space="0" w:color="auto"/>
        <w:bottom w:val="none" w:sz="0" w:space="0" w:color="auto"/>
        <w:right w:val="none" w:sz="0" w:space="0" w:color="auto"/>
      </w:divBdr>
      <w:divsChild>
        <w:div w:id="1080710418">
          <w:marLeft w:val="274"/>
          <w:marRight w:val="0"/>
          <w:marTop w:val="0"/>
          <w:marBottom w:val="0"/>
          <w:divBdr>
            <w:top w:val="none" w:sz="0" w:space="0" w:color="auto"/>
            <w:left w:val="none" w:sz="0" w:space="0" w:color="auto"/>
            <w:bottom w:val="none" w:sz="0" w:space="0" w:color="auto"/>
            <w:right w:val="none" w:sz="0" w:space="0" w:color="auto"/>
          </w:divBdr>
        </w:div>
        <w:div w:id="1428503851">
          <w:marLeft w:val="274"/>
          <w:marRight w:val="0"/>
          <w:marTop w:val="0"/>
          <w:marBottom w:val="0"/>
          <w:divBdr>
            <w:top w:val="none" w:sz="0" w:space="0" w:color="auto"/>
            <w:left w:val="none" w:sz="0" w:space="0" w:color="auto"/>
            <w:bottom w:val="none" w:sz="0" w:space="0" w:color="auto"/>
            <w:right w:val="none" w:sz="0" w:space="0" w:color="auto"/>
          </w:divBdr>
        </w:div>
      </w:divsChild>
    </w:div>
    <w:div w:id="1293095724">
      <w:bodyDiv w:val="1"/>
      <w:marLeft w:val="0"/>
      <w:marRight w:val="0"/>
      <w:marTop w:val="0"/>
      <w:marBottom w:val="0"/>
      <w:divBdr>
        <w:top w:val="none" w:sz="0" w:space="0" w:color="auto"/>
        <w:left w:val="none" w:sz="0" w:space="0" w:color="auto"/>
        <w:bottom w:val="none" w:sz="0" w:space="0" w:color="auto"/>
        <w:right w:val="none" w:sz="0" w:space="0" w:color="auto"/>
      </w:divBdr>
      <w:divsChild>
        <w:div w:id="603928696">
          <w:marLeft w:val="274"/>
          <w:marRight w:val="0"/>
          <w:marTop w:val="0"/>
          <w:marBottom w:val="0"/>
          <w:divBdr>
            <w:top w:val="none" w:sz="0" w:space="0" w:color="auto"/>
            <w:left w:val="none" w:sz="0" w:space="0" w:color="auto"/>
            <w:bottom w:val="none" w:sz="0" w:space="0" w:color="auto"/>
            <w:right w:val="none" w:sz="0" w:space="0" w:color="auto"/>
          </w:divBdr>
        </w:div>
        <w:div w:id="1622494650">
          <w:marLeft w:val="274"/>
          <w:marRight w:val="0"/>
          <w:marTop w:val="0"/>
          <w:marBottom w:val="0"/>
          <w:divBdr>
            <w:top w:val="none" w:sz="0" w:space="0" w:color="auto"/>
            <w:left w:val="none" w:sz="0" w:space="0" w:color="auto"/>
            <w:bottom w:val="none" w:sz="0" w:space="0" w:color="auto"/>
            <w:right w:val="none" w:sz="0" w:space="0" w:color="auto"/>
          </w:divBdr>
        </w:div>
        <w:div w:id="1691832826">
          <w:marLeft w:val="274"/>
          <w:marRight w:val="0"/>
          <w:marTop w:val="0"/>
          <w:marBottom w:val="0"/>
          <w:divBdr>
            <w:top w:val="none" w:sz="0" w:space="0" w:color="auto"/>
            <w:left w:val="none" w:sz="0" w:space="0" w:color="auto"/>
            <w:bottom w:val="none" w:sz="0" w:space="0" w:color="auto"/>
            <w:right w:val="none" w:sz="0" w:space="0" w:color="auto"/>
          </w:divBdr>
        </w:div>
        <w:div w:id="1329137565">
          <w:marLeft w:val="274"/>
          <w:marRight w:val="0"/>
          <w:marTop w:val="0"/>
          <w:marBottom w:val="0"/>
          <w:divBdr>
            <w:top w:val="none" w:sz="0" w:space="0" w:color="auto"/>
            <w:left w:val="none" w:sz="0" w:space="0" w:color="auto"/>
            <w:bottom w:val="none" w:sz="0" w:space="0" w:color="auto"/>
            <w:right w:val="none" w:sz="0" w:space="0" w:color="auto"/>
          </w:divBdr>
        </w:div>
        <w:div w:id="1695418334">
          <w:marLeft w:val="274"/>
          <w:marRight w:val="0"/>
          <w:marTop w:val="0"/>
          <w:marBottom w:val="0"/>
          <w:divBdr>
            <w:top w:val="none" w:sz="0" w:space="0" w:color="auto"/>
            <w:left w:val="none" w:sz="0" w:space="0" w:color="auto"/>
            <w:bottom w:val="none" w:sz="0" w:space="0" w:color="auto"/>
            <w:right w:val="none" w:sz="0" w:space="0" w:color="auto"/>
          </w:divBdr>
        </w:div>
      </w:divsChild>
    </w:div>
    <w:div w:id="1439837807">
      <w:bodyDiv w:val="1"/>
      <w:marLeft w:val="0"/>
      <w:marRight w:val="0"/>
      <w:marTop w:val="0"/>
      <w:marBottom w:val="0"/>
      <w:divBdr>
        <w:top w:val="none" w:sz="0" w:space="0" w:color="auto"/>
        <w:left w:val="none" w:sz="0" w:space="0" w:color="auto"/>
        <w:bottom w:val="none" w:sz="0" w:space="0" w:color="auto"/>
        <w:right w:val="none" w:sz="0" w:space="0" w:color="auto"/>
      </w:divBdr>
      <w:divsChild>
        <w:div w:id="521675670">
          <w:marLeft w:val="274"/>
          <w:marRight w:val="0"/>
          <w:marTop w:val="0"/>
          <w:marBottom w:val="0"/>
          <w:divBdr>
            <w:top w:val="none" w:sz="0" w:space="0" w:color="auto"/>
            <w:left w:val="none" w:sz="0" w:space="0" w:color="auto"/>
            <w:bottom w:val="none" w:sz="0" w:space="0" w:color="auto"/>
            <w:right w:val="none" w:sz="0" w:space="0" w:color="auto"/>
          </w:divBdr>
        </w:div>
        <w:div w:id="236667188">
          <w:marLeft w:val="274"/>
          <w:marRight w:val="0"/>
          <w:marTop w:val="0"/>
          <w:marBottom w:val="0"/>
          <w:divBdr>
            <w:top w:val="none" w:sz="0" w:space="0" w:color="auto"/>
            <w:left w:val="none" w:sz="0" w:space="0" w:color="auto"/>
            <w:bottom w:val="none" w:sz="0" w:space="0" w:color="auto"/>
            <w:right w:val="none" w:sz="0" w:space="0" w:color="auto"/>
          </w:divBdr>
        </w:div>
        <w:div w:id="234824905">
          <w:marLeft w:val="274"/>
          <w:marRight w:val="0"/>
          <w:marTop w:val="0"/>
          <w:marBottom w:val="0"/>
          <w:divBdr>
            <w:top w:val="none" w:sz="0" w:space="0" w:color="auto"/>
            <w:left w:val="none" w:sz="0" w:space="0" w:color="auto"/>
            <w:bottom w:val="none" w:sz="0" w:space="0" w:color="auto"/>
            <w:right w:val="none" w:sz="0" w:space="0" w:color="auto"/>
          </w:divBdr>
        </w:div>
      </w:divsChild>
    </w:div>
    <w:div w:id="1483891661">
      <w:bodyDiv w:val="1"/>
      <w:marLeft w:val="0"/>
      <w:marRight w:val="0"/>
      <w:marTop w:val="0"/>
      <w:marBottom w:val="0"/>
      <w:divBdr>
        <w:top w:val="none" w:sz="0" w:space="0" w:color="auto"/>
        <w:left w:val="none" w:sz="0" w:space="0" w:color="auto"/>
        <w:bottom w:val="none" w:sz="0" w:space="0" w:color="auto"/>
        <w:right w:val="none" w:sz="0" w:space="0" w:color="auto"/>
      </w:divBdr>
    </w:div>
    <w:div w:id="1523980071">
      <w:bodyDiv w:val="1"/>
      <w:marLeft w:val="0"/>
      <w:marRight w:val="0"/>
      <w:marTop w:val="0"/>
      <w:marBottom w:val="0"/>
      <w:divBdr>
        <w:top w:val="none" w:sz="0" w:space="0" w:color="auto"/>
        <w:left w:val="none" w:sz="0" w:space="0" w:color="auto"/>
        <w:bottom w:val="none" w:sz="0" w:space="0" w:color="auto"/>
        <w:right w:val="none" w:sz="0" w:space="0" w:color="auto"/>
      </w:divBdr>
    </w:div>
    <w:div w:id="1582175167">
      <w:bodyDiv w:val="1"/>
      <w:marLeft w:val="0"/>
      <w:marRight w:val="0"/>
      <w:marTop w:val="0"/>
      <w:marBottom w:val="0"/>
      <w:divBdr>
        <w:top w:val="none" w:sz="0" w:space="0" w:color="auto"/>
        <w:left w:val="none" w:sz="0" w:space="0" w:color="auto"/>
        <w:bottom w:val="none" w:sz="0" w:space="0" w:color="auto"/>
        <w:right w:val="none" w:sz="0" w:space="0" w:color="auto"/>
      </w:divBdr>
      <w:divsChild>
        <w:div w:id="353961687">
          <w:marLeft w:val="274"/>
          <w:marRight w:val="0"/>
          <w:marTop w:val="0"/>
          <w:marBottom w:val="0"/>
          <w:divBdr>
            <w:top w:val="none" w:sz="0" w:space="0" w:color="auto"/>
            <w:left w:val="none" w:sz="0" w:space="0" w:color="auto"/>
            <w:bottom w:val="none" w:sz="0" w:space="0" w:color="auto"/>
            <w:right w:val="none" w:sz="0" w:space="0" w:color="auto"/>
          </w:divBdr>
        </w:div>
        <w:div w:id="1773474427">
          <w:marLeft w:val="274"/>
          <w:marRight w:val="0"/>
          <w:marTop w:val="0"/>
          <w:marBottom w:val="0"/>
          <w:divBdr>
            <w:top w:val="none" w:sz="0" w:space="0" w:color="auto"/>
            <w:left w:val="none" w:sz="0" w:space="0" w:color="auto"/>
            <w:bottom w:val="none" w:sz="0" w:space="0" w:color="auto"/>
            <w:right w:val="none" w:sz="0" w:space="0" w:color="auto"/>
          </w:divBdr>
        </w:div>
        <w:div w:id="1537503555">
          <w:marLeft w:val="274"/>
          <w:marRight w:val="0"/>
          <w:marTop w:val="0"/>
          <w:marBottom w:val="0"/>
          <w:divBdr>
            <w:top w:val="none" w:sz="0" w:space="0" w:color="auto"/>
            <w:left w:val="none" w:sz="0" w:space="0" w:color="auto"/>
            <w:bottom w:val="none" w:sz="0" w:space="0" w:color="auto"/>
            <w:right w:val="none" w:sz="0" w:space="0" w:color="auto"/>
          </w:divBdr>
        </w:div>
        <w:div w:id="948699805">
          <w:marLeft w:val="274"/>
          <w:marRight w:val="0"/>
          <w:marTop w:val="0"/>
          <w:marBottom w:val="0"/>
          <w:divBdr>
            <w:top w:val="none" w:sz="0" w:space="0" w:color="auto"/>
            <w:left w:val="none" w:sz="0" w:space="0" w:color="auto"/>
            <w:bottom w:val="none" w:sz="0" w:space="0" w:color="auto"/>
            <w:right w:val="none" w:sz="0" w:space="0" w:color="auto"/>
          </w:divBdr>
        </w:div>
        <w:div w:id="1256406573">
          <w:marLeft w:val="274"/>
          <w:marRight w:val="0"/>
          <w:marTop w:val="0"/>
          <w:marBottom w:val="0"/>
          <w:divBdr>
            <w:top w:val="none" w:sz="0" w:space="0" w:color="auto"/>
            <w:left w:val="none" w:sz="0" w:space="0" w:color="auto"/>
            <w:bottom w:val="none" w:sz="0" w:space="0" w:color="auto"/>
            <w:right w:val="none" w:sz="0" w:space="0" w:color="auto"/>
          </w:divBdr>
        </w:div>
      </w:divsChild>
    </w:div>
    <w:div w:id="1583878297">
      <w:bodyDiv w:val="1"/>
      <w:marLeft w:val="0"/>
      <w:marRight w:val="0"/>
      <w:marTop w:val="0"/>
      <w:marBottom w:val="0"/>
      <w:divBdr>
        <w:top w:val="none" w:sz="0" w:space="0" w:color="auto"/>
        <w:left w:val="none" w:sz="0" w:space="0" w:color="auto"/>
        <w:bottom w:val="none" w:sz="0" w:space="0" w:color="auto"/>
        <w:right w:val="none" w:sz="0" w:space="0" w:color="auto"/>
      </w:divBdr>
      <w:divsChild>
        <w:div w:id="1399324874">
          <w:marLeft w:val="274"/>
          <w:marRight w:val="0"/>
          <w:marTop w:val="0"/>
          <w:marBottom w:val="0"/>
          <w:divBdr>
            <w:top w:val="none" w:sz="0" w:space="0" w:color="auto"/>
            <w:left w:val="none" w:sz="0" w:space="0" w:color="auto"/>
            <w:bottom w:val="none" w:sz="0" w:space="0" w:color="auto"/>
            <w:right w:val="none" w:sz="0" w:space="0" w:color="auto"/>
          </w:divBdr>
        </w:div>
        <w:div w:id="1686907014">
          <w:marLeft w:val="274"/>
          <w:marRight w:val="0"/>
          <w:marTop w:val="0"/>
          <w:marBottom w:val="0"/>
          <w:divBdr>
            <w:top w:val="none" w:sz="0" w:space="0" w:color="auto"/>
            <w:left w:val="none" w:sz="0" w:space="0" w:color="auto"/>
            <w:bottom w:val="none" w:sz="0" w:space="0" w:color="auto"/>
            <w:right w:val="none" w:sz="0" w:space="0" w:color="auto"/>
          </w:divBdr>
        </w:div>
        <w:div w:id="1063989974">
          <w:marLeft w:val="274"/>
          <w:marRight w:val="0"/>
          <w:marTop w:val="0"/>
          <w:marBottom w:val="0"/>
          <w:divBdr>
            <w:top w:val="none" w:sz="0" w:space="0" w:color="auto"/>
            <w:left w:val="none" w:sz="0" w:space="0" w:color="auto"/>
            <w:bottom w:val="none" w:sz="0" w:space="0" w:color="auto"/>
            <w:right w:val="none" w:sz="0" w:space="0" w:color="auto"/>
          </w:divBdr>
        </w:div>
      </w:divsChild>
    </w:div>
    <w:div w:id="1771462045">
      <w:bodyDiv w:val="1"/>
      <w:marLeft w:val="0"/>
      <w:marRight w:val="0"/>
      <w:marTop w:val="0"/>
      <w:marBottom w:val="0"/>
      <w:divBdr>
        <w:top w:val="none" w:sz="0" w:space="0" w:color="auto"/>
        <w:left w:val="none" w:sz="0" w:space="0" w:color="auto"/>
        <w:bottom w:val="none" w:sz="0" w:space="0" w:color="auto"/>
        <w:right w:val="none" w:sz="0" w:space="0" w:color="auto"/>
      </w:divBdr>
    </w:div>
    <w:div w:id="1837185798">
      <w:bodyDiv w:val="1"/>
      <w:marLeft w:val="0"/>
      <w:marRight w:val="0"/>
      <w:marTop w:val="0"/>
      <w:marBottom w:val="0"/>
      <w:divBdr>
        <w:top w:val="none" w:sz="0" w:space="0" w:color="auto"/>
        <w:left w:val="none" w:sz="0" w:space="0" w:color="auto"/>
        <w:bottom w:val="none" w:sz="0" w:space="0" w:color="auto"/>
        <w:right w:val="none" w:sz="0" w:space="0" w:color="auto"/>
      </w:divBdr>
      <w:divsChild>
        <w:div w:id="1724720258">
          <w:marLeft w:val="274"/>
          <w:marRight w:val="0"/>
          <w:marTop w:val="0"/>
          <w:marBottom w:val="0"/>
          <w:divBdr>
            <w:top w:val="none" w:sz="0" w:space="0" w:color="auto"/>
            <w:left w:val="none" w:sz="0" w:space="0" w:color="auto"/>
            <w:bottom w:val="none" w:sz="0" w:space="0" w:color="auto"/>
            <w:right w:val="none" w:sz="0" w:space="0" w:color="auto"/>
          </w:divBdr>
        </w:div>
        <w:div w:id="467359549">
          <w:marLeft w:val="994"/>
          <w:marRight w:val="0"/>
          <w:marTop w:val="0"/>
          <w:marBottom w:val="0"/>
          <w:divBdr>
            <w:top w:val="none" w:sz="0" w:space="0" w:color="auto"/>
            <w:left w:val="none" w:sz="0" w:space="0" w:color="auto"/>
            <w:bottom w:val="none" w:sz="0" w:space="0" w:color="auto"/>
            <w:right w:val="none" w:sz="0" w:space="0" w:color="auto"/>
          </w:divBdr>
        </w:div>
        <w:div w:id="2015961317">
          <w:marLeft w:val="274"/>
          <w:marRight w:val="0"/>
          <w:marTop w:val="0"/>
          <w:marBottom w:val="0"/>
          <w:divBdr>
            <w:top w:val="none" w:sz="0" w:space="0" w:color="auto"/>
            <w:left w:val="none" w:sz="0" w:space="0" w:color="auto"/>
            <w:bottom w:val="none" w:sz="0" w:space="0" w:color="auto"/>
            <w:right w:val="none" w:sz="0" w:space="0" w:color="auto"/>
          </w:divBdr>
        </w:div>
        <w:div w:id="128325450">
          <w:marLeft w:val="274"/>
          <w:marRight w:val="0"/>
          <w:marTop w:val="0"/>
          <w:marBottom w:val="0"/>
          <w:divBdr>
            <w:top w:val="none" w:sz="0" w:space="0" w:color="auto"/>
            <w:left w:val="none" w:sz="0" w:space="0" w:color="auto"/>
            <w:bottom w:val="none" w:sz="0" w:space="0" w:color="auto"/>
            <w:right w:val="none" w:sz="0" w:space="0" w:color="auto"/>
          </w:divBdr>
        </w:div>
        <w:div w:id="1510026431">
          <w:marLeft w:val="994"/>
          <w:marRight w:val="0"/>
          <w:marTop w:val="0"/>
          <w:marBottom w:val="0"/>
          <w:divBdr>
            <w:top w:val="none" w:sz="0" w:space="0" w:color="auto"/>
            <w:left w:val="none" w:sz="0" w:space="0" w:color="auto"/>
            <w:bottom w:val="none" w:sz="0" w:space="0" w:color="auto"/>
            <w:right w:val="none" w:sz="0" w:space="0" w:color="auto"/>
          </w:divBdr>
        </w:div>
        <w:div w:id="375474509">
          <w:marLeft w:val="994"/>
          <w:marRight w:val="0"/>
          <w:marTop w:val="0"/>
          <w:marBottom w:val="0"/>
          <w:divBdr>
            <w:top w:val="none" w:sz="0" w:space="0" w:color="auto"/>
            <w:left w:val="none" w:sz="0" w:space="0" w:color="auto"/>
            <w:bottom w:val="none" w:sz="0" w:space="0" w:color="auto"/>
            <w:right w:val="none" w:sz="0" w:space="0" w:color="auto"/>
          </w:divBdr>
        </w:div>
        <w:div w:id="719399108">
          <w:marLeft w:val="994"/>
          <w:marRight w:val="0"/>
          <w:marTop w:val="0"/>
          <w:marBottom w:val="0"/>
          <w:divBdr>
            <w:top w:val="none" w:sz="0" w:space="0" w:color="auto"/>
            <w:left w:val="none" w:sz="0" w:space="0" w:color="auto"/>
            <w:bottom w:val="none" w:sz="0" w:space="0" w:color="auto"/>
            <w:right w:val="none" w:sz="0" w:space="0" w:color="auto"/>
          </w:divBdr>
        </w:div>
      </w:divsChild>
    </w:div>
    <w:div w:id="1915777061">
      <w:bodyDiv w:val="1"/>
      <w:marLeft w:val="0"/>
      <w:marRight w:val="0"/>
      <w:marTop w:val="0"/>
      <w:marBottom w:val="0"/>
      <w:divBdr>
        <w:top w:val="none" w:sz="0" w:space="0" w:color="auto"/>
        <w:left w:val="none" w:sz="0" w:space="0" w:color="auto"/>
        <w:bottom w:val="none" w:sz="0" w:space="0" w:color="auto"/>
        <w:right w:val="none" w:sz="0" w:space="0" w:color="auto"/>
      </w:divBdr>
    </w:div>
    <w:div w:id="2012173822">
      <w:bodyDiv w:val="1"/>
      <w:marLeft w:val="0"/>
      <w:marRight w:val="0"/>
      <w:marTop w:val="0"/>
      <w:marBottom w:val="0"/>
      <w:divBdr>
        <w:top w:val="none" w:sz="0" w:space="0" w:color="auto"/>
        <w:left w:val="none" w:sz="0" w:space="0" w:color="auto"/>
        <w:bottom w:val="none" w:sz="0" w:space="0" w:color="auto"/>
        <w:right w:val="none" w:sz="0" w:space="0" w:color="auto"/>
      </w:divBdr>
      <w:divsChild>
        <w:div w:id="757554391">
          <w:marLeft w:val="274"/>
          <w:marRight w:val="0"/>
          <w:marTop w:val="0"/>
          <w:marBottom w:val="0"/>
          <w:divBdr>
            <w:top w:val="none" w:sz="0" w:space="0" w:color="auto"/>
            <w:left w:val="none" w:sz="0" w:space="0" w:color="auto"/>
            <w:bottom w:val="none" w:sz="0" w:space="0" w:color="auto"/>
            <w:right w:val="none" w:sz="0" w:space="0" w:color="auto"/>
          </w:divBdr>
        </w:div>
        <w:div w:id="186256787">
          <w:marLeft w:val="994"/>
          <w:marRight w:val="0"/>
          <w:marTop w:val="0"/>
          <w:marBottom w:val="0"/>
          <w:divBdr>
            <w:top w:val="none" w:sz="0" w:space="0" w:color="auto"/>
            <w:left w:val="none" w:sz="0" w:space="0" w:color="auto"/>
            <w:bottom w:val="none" w:sz="0" w:space="0" w:color="auto"/>
            <w:right w:val="none" w:sz="0" w:space="0" w:color="auto"/>
          </w:divBdr>
        </w:div>
        <w:div w:id="660238437">
          <w:marLeft w:val="994"/>
          <w:marRight w:val="0"/>
          <w:marTop w:val="0"/>
          <w:marBottom w:val="0"/>
          <w:divBdr>
            <w:top w:val="none" w:sz="0" w:space="0" w:color="auto"/>
            <w:left w:val="none" w:sz="0" w:space="0" w:color="auto"/>
            <w:bottom w:val="none" w:sz="0" w:space="0" w:color="auto"/>
            <w:right w:val="none" w:sz="0" w:space="0" w:color="auto"/>
          </w:divBdr>
        </w:div>
        <w:div w:id="2085488210">
          <w:marLeft w:val="274"/>
          <w:marRight w:val="0"/>
          <w:marTop w:val="0"/>
          <w:marBottom w:val="0"/>
          <w:divBdr>
            <w:top w:val="none" w:sz="0" w:space="0" w:color="auto"/>
            <w:left w:val="none" w:sz="0" w:space="0" w:color="auto"/>
            <w:bottom w:val="none" w:sz="0" w:space="0" w:color="auto"/>
            <w:right w:val="none" w:sz="0" w:space="0" w:color="auto"/>
          </w:divBdr>
        </w:div>
        <w:div w:id="1640190579">
          <w:marLeft w:val="274"/>
          <w:marRight w:val="0"/>
          <w:marTop w:val="0"/>
          <w:marBottom w:val="0"/>
          <w:divBdr>
            <w:top w:val="none" w:sz="0" w:space="0" w:color="auto"/>
            <w:left w:val="none" w:sz="0" w:space="0" w:color="auto"/>
            <w:bottom w:val="none" w:sz="0" w:space="0" w:color="auto"/>
            <w:right w:val="none" w:sz="0" w:space="0" w:color="auto"/>
          </w:divBdr>
        </w:div>
        <w:div w:id="66416327">
          <w:marLeft w:val="274"/>
          <w:marRight w:val="0"/>
          <w:marTop w:val="0"/>
          <w:marBottom w:val="0"/>
          <w:divBdr>
            <w:top w:val="none" w:sz="0" w:space="0" w:color="auto"/>
            <w:left w:val="none" w:sz="0" w:space="0" w:color="auto"/>
            <w:bottom w:val="none" w:sz="0" w:space="0" w:color="auto"/>
            <w:right w:val="none" w:sz="0" w:space="0" w:color="auto"/>
          </w:divBdr>
        </w:div>
      </w:divsChild>
    </w:div>
    <w:div w:id="212141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2126</Words>
  <Characters>12120</Characters>
  <Application>Microsoft Office Word</Application>
  <DocSecurity>0</DocSecurity>
  <Lines>101</Lines>
  <Paragraphs>28</Paragraphs>
  <ScaleCrop>false</ScaleCrop>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Wes</cp:lastModifiedBy>
  <cp:revision>2</cp:revision>
  <dcterms:created xsi:type="dcterms:W3CDTF">2021-02-16T17:34:00Z</dcterms:created>
  <dcterms:modified xsi:type="dcterms:W3CDTF">2021-02-16T17:34:00Z</dcterms:modified>
</cp:coreProperties>
</file>