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A3895" w14:textId="1FB934DF" w:rsidR="00A84A49" w:rsidRDefault="00A84A49" w:rsidP="00A84A49">
      <w:pPr>
        <w:spacing w:after="0" w:line="240" w:lineRule="auto"/>
        <w:ind w:right="2304"/>
        <w:rPr>
          <w:color w:val="000000"/>
          <w:sz w:val="26"/>
          <w:szCs w:val="26"/>
        </w:rPr>
      </w:pPr>
      <w:r>
        <w:rPr>
          <w:color w:val="000000"/>
          <w:sz w:val="26"/>
          <w:szCs w:val="26"/>
        </w:rPr>
        <w:t>Background from the ACS 2022 FRN</w:t>
      </w:r>
      <w:r>
        <w:rPr>
          <w:color w:val="000000"/>
          <w:sz w:val="26"/>
          <w:szCs w:val="26"/>
        </w:rPr>
        <w:t>:</w:t>
      </w:r>
    </w:p>
    <w:p w14:paraId="2F299A80" w14:textId="77777777" w:rsidR="00A84A49" w:rsidRDefault="00A84A49" w:rsidP="00A84A49">
      <w:pPr>
        <w:spacing w:after="0" w:line="240" w:lineRule="auto"/>
        <w:ind w:right="2304"/>
        <w:rPr>
          <w:color w:val="000000"/>
          <w:sz w:val="26"/>
          <w:szCs w:val="26"/>
        </w:rPr>
      </w:pPr>
    </w:p>
    <w:p w14:paraId="6A18E967" w14:textId="77777777" w:rsidR="00A84A49" w:rsidRDefault="00A84A49" w:rsidP="00A84A49">
      <w:pPr>
        <w:pStyle w:val="ListParagraph"/>
        <w:numPr>
          <w:ilvl w:val="0"/>
          <w:numId w:val="1"/>
        </w:numPr>
        <w:spacing w:after="0" w:line="240" w:lineRule="auto"/>
        <w:rPr>
          <w:rFonts w:eastAsia="Times New Roman"/>
          <w:color w:val="000000"/>
          <w:sz w:val="26"/>
          <w:szCs w:val="26"/>
        </w:rPr>
      </w:pPr>
      <w:r>
        <w:rPr>
          <w:rFonts w:eastAsia="Times New Roman"/>
          <w:color w:val="000000"/>
          <w:sz w:val="26"/>
          <w:szCs w:val="26"/>
        </w:rPr>
        <w:t xml:space="preserve">Since its founding, the U.S. Census Bureau has balanced the demands of a growing country requiring information about its people and economy with concerns for respondents' confidentiality and the time and effort it takes respondents to answer questions. Beginning with the 1810 Census, Congress updated the set of questions asked in the 1790 and 1800 Censuses by adding questions to support a range of public concerns and uses. Over the course of a century, Federal agencies requested to add questions about agriculture, industry, and commerce, as well as individuals' occupation, ancestry, marital status, disabilities, place of birth, and other topics. In 1940, the Census Bureau introduced the long-form census questionnaire </w:t>
      </w:r>
      <w:proofErr w:type="gramStart"/>
      <w:r>
        <w:rPr>
          <w:rFonts w:eastAsia="Times New Roman"/>
          <w:color w:val="000000"/>
          <w:sz w:val="26"/>
          <w:szCs w:val="26"/>
        </w:rPr>
        <w:t>in order to</w:t>
      </w:r>
      <w:proofErr w:type="gramEnd"/>
      <w:r>
        <w:rPr>
          <w:rFonts w:eastAsia="Times New Roman"/>
          <w:color w:val="000000"/>
          <w:sz w:val="26"/>
          <w:szCs w:val="26"/>
        </w:rPr>
        <w:t xml:space="preserve"> ask more detailed questions to a sample of the public.</w:t>
      </w:r>
    </w:p>
    <w:p w14:paraId="58BF0A81" w14:textId="77777777" w:rsidR="00A84A49" w:rsidRDefault="00A84A49" w:rsidP="00A84A49">
      <w:pPr>
        <w:pStyle w:val="ListParagraph"/>
        <w:spacing w:after="0" w:line="240" w:lineRule="auto"/>
        <w:ind w:right="2304"/>
        <w:rPr>
          <w:color w:val="000000"/>
          <w:sz w:val="26"/>
          <w:szCs w:val="26"/>
        </w:rPr>
      </w:pPr>
    </w:p>
    <w:p w14:paraId="3402DAE5" w14:textId="77777777" w:rsidR="00A84A49" w:rsidRDefault="00A84A49" w:rsidP="00A84A49">
      <w:pPr>
        <w:pStyle w:val="ListParagraph"/>
        <w:numPr>
          <w:ilvl w:val="0"/>
          <w:numId w:val="1"/>
        </w:numPr>
        <w:spacing w:after="0" w:line="240" w:lineRule="auto"/>
        <w:rPr>
          <w:rFonts w:eastAsia="Times New Roman"/>
          <w:color w:val="000000"/>
          <w:sz w:val="26"/>
          <w:szCs w:val="26"/>
        </w:rPr>
      </w:pPr>
      <w:r>
        <w:rPr>
          <w:rFonts w:eastAsia="Times New Roman"/>
          <w:color w:val="000000"/>
          <w:sz w:val="26"/>
          <w:szCs w:val="26"/>
        </w:rPr>
        <w:t xml:space="preserve">In the early 1990s, the demand for current, nationally </w:t>
      </w:r>
      <w:proofErr w:type="gramStart"/>
      <w:r>
        <w:rPr>
          <w:rFonts w:eastAsia="Times New Roman"/>
          <w:color w:val="000000"/>
          <w:sz w:val="26"/>
          <w:szCs w:val="26"/>
        </w:rPr>
        <w:t>consistent  data</w:t>
      </w:r>
      <w:proofErr w:type="gramEnd"/>
      <w:r>
        <w:rPr>
          <w:rFonts w:eastAsia="Times New Roman"/>
          <w:color w:val="000000"/>
          <w:sz w:val="26"/>
          <w:szCs w:val="26"/>
        </w:rPr>
        <w:t xml:space="preserve"> from a wide variety of users led Federal government policymakers to consider the feasibility of collecting social, economic, and housing data continuously throughout the decade. The benefits of providing current data, along with the anticipated decennial census benefits in cost savings, planning, improved census coverage, and more efficient operations, led the Census Bureau to plan the implementation of the Continuous Measurement Survey, later called the American Community Survey (ACS). After years of testing, the ACS was implemented in 2005 replacing the need for long-form data collection in future decennial censuses. </w:t>
      </w:r>
    </w:p>
    <w:p w14:paraId="6C944979" w14:textId="77777777" w:rsidR="00A84A49" w:rsidRDefault="00A84A49" w:rsidP="00A84A49">
      <w:pPr>
        <w:spacing w:after="0" w:line="240" w:lineRule="auto"/>
        <w:ind w:right="2304"/>
        <w:rPr>
          <w:color w:val="000000"/>
          <w:sz w:val="26"/>
          <w:szCs w:val="26"/>
        </w:rPr>
      </w:pPr>
    </w:p>
    <w:p w14:paraId="0FD38F56" w14:textId="77777777" w:rsidR="00A84A49" w:rsidRDefault="00A84A49" w:rsidP="00A84A49">
      <w:pPr>
        <w:pStyle w:val="ListParagraph"/>
        <w:numPr>
          <w:ilvl w:val="0"/>
          <w:numId w:val="1"/>
        </w:numPr>
        <w:spacing w:after="0" w:line="240" w:lineRule="auto"/>
        <w:rPr>
          <w:rFonts w:eastAsia="Times New Roman"/>
          <w:color w:val="000000"/>
          <w:sz w:val="26"/>
          <w:szCs w:val="26"/>
        </w:rPr>
      </w:pPr>
      <w:r>
        <w:rPr>
          <w:rFonts w:eastAsia="Times New Roman"/>
          <w:color w:val="000000"/>
          <w:sz w:val="26"/>
          <w:szCs w:val="26"/>
        </w:rPr>
        <w:t xml:space="preserve">The ACS is conducted throughout the United States and in Puerto Rico, where it is called the Puerto Rico Community Survey (PRCS). The ACS samples approximately 3.5 million housing unit addresses in the United States and about 36,000 housing unit addresses in Puerto Rico each year. A housing unit is a house, an apartment, a mobile home, a group of rooms, or a single room occupied or intended for occupancy as separate living quarters. </w:t>
      </w:r>
    </w:p>
    <w:p w14:paraId="422E8AC4" w14:textId="77777777" w:rsidR="00A84A49" w:rsidRDefault="00A84A49" w:rsidP="00A84A49">
      <w:pPr>
        <w:spacing w:after="0" w:line="240" w:lineRule="auto"/>
        <w:rPr>
          <w:color w:val="000000"/>
          <w:sz w:val="26"/>
          <w:szCs w:val="26"/>
        </w:rPr>
      </w:pPr>
    </w:p>
    <w:p w14:paraId="0E8E67B5" w14:textId="77777777" w:rsidR="00A84A49" w:rsidRDefault="00A84A49" w:rsidP="00A84A49">
      <w:pPr>
        <w:pStyle w:val="ListParagraph"/>
        <w:numPr>
          <w:ilvl w:val="0"/>
          <w:numId w:val="1"/>
        </w:numPr>
        <w:spacing w:after="0" w:line="240" w:lineRule="auto"/>
        <w:rPr>
          <w:rFonts w:eastAsia="Times New Roman"/>
          <w:color w:val="000000"/>
          <w:sz w:val="26"/>
          <w:szCs w:val="26"/>
        </w:rPr>
      </w:pPr>
      <w:r>
        <w:rPr>
          <w:rFonts w:eastAsia="Times New Roman"/>
          <w:color w:val="000000"/>
          <w:sz w:val="26"/>
          <w:szCs w:val="26"/>
        </w:rPr>
        <w:t xml:space="preserve">The ACS also collects detailed socioeconomic data from a sample of about 170,000 residents living in group quarters facilities in the United States and about 900 in Puerto Rico. Group quarters are places where people live or stay, in a group living arrangement that is owned or managed by an entity or organization providing housing and/or services for the residents. People living in group quarters usually are not related to each other. </w:t>
      </w:r>
    </w:p>
    <w:p w14:paraId="082D50D1" w14:textId="77777777" w:rsidR="00A84A49" w:rsidRDefault="00A84A49" w:rsidP="00A84A49">
      <w:pPr>
        <w:spacing w:after="0" w:line="240" w:lineRule="auto"/>
        <w:rPr>
          <w:color w:val="000000"/>
          <w:sz w:val="26"/>
          <w:szCs w:val="26"/>
        </w:rPr>
      </w:pPr>
    </w:p>
    <w:p w14:paraId="4D820F08" w14:textId="77777777" w:rsidR="00A84A49" w:rsidRDefault="00A84A49" w:rsidP="00A84A49">
      <w:pPr>
        <w:pStyle w:val="ListParagraph"/>
        <w:numPr>
          <w:ilvl w:val="0"/>
          <w:numId w:val="1"/>
        </w:numPr>
        <w:spacing w:after="0" w:line="240" w:lineRule="auto"/>
        <w:rPr>
          <w:rFonts w:eastAsia="Times New Roman"/>
          <w:color w:val="000000"/>
          <w:sz w:val="26"/>
          <w:szCs w:val="26"/>
        </w:rPr>
      </w:pPr>
      <w:r>
        <w:rPr>
          <w:rFonts w:eastAsia="Times New Roman"/>
          <w:color w:val="000000"/>
          <w:sz w:val="26"/>
          <w:szCs w:val="26"/>
        </w:rPr>
        <w:lastRenderedPageBreak/>
        <w:t xml:space="preserve">Group quarters include such places as college/university student housing, residential treatment centers, skilled nursing facilities, group homes, military barracks, </w:t>
      </w:r>
      <w:proofErr w:type="gramStart"/>
      <w:r>
        <w:rPr>
          <w:rFonts w:eastAsia="Times New Roman"/>
          <w:color w:val="000000"/>
          <w:sz w:val="26"/>
          <w:szCs w:val="26"/>
        </w:rPr>
        <w:t>correctional facilities</w:t>
      </w:r>
      <w:proofErr w:type="gramEnd"/>
      <w:r>
        <w:rPr>
          <w:rFonts w:eastAsia="Times New Roman"/>
          <w:color w:val="000000"/>
          <w:sz w:val="26"/>
          <w:szCs w:val="26"/>
        </w:rPr>
        <w:t>, workers' group living quarters and Job Corps centers, and emergency and transitional shelters.</w:t>
      </w:r>
    </w:p>
    <w:p w14:paraId="11878D16" w14:textId="77777777" w:rsidR="00A84A49" w:rsidRDefault="00A84A49" w:rsidP="00A84A49">
      <w:pPr>
        <w:spacing w:after="0" w:line="240" w:lineRule="auto"/>
        <w:rPr>
          <w:color w:val="000000"/>
          <w:sz w:val="26"/>
          <w:szCs w:val="26"/>
        </w:rPr>
      </w:pPr>
    </w:p>
    <w:p w14:paraId="183C3D0B" w14:textId="77777777" w:rsidR="00A84A49" w:rsidRDefault="00A84A49" w:rsidP="00A84A49">
      <w:pPr>
        <w:pStyle w:val="ListParagraph"/>
        <w:numPr>
          <w:ilvl w:val="0"/>
          <w:numId w:val="1"/>
        </w:numPr>
        <w:spacing w:after="0" w:line="240" w:lineRule="auto"/>
        <w:rPr>
          <w:rFonts w:eastAsia="Times New Roman"/>
          <w:color w:val="000000"/>
          <w:sz w:val="26"/>
          <w:szCs w:val="26"/>
        </w:rPr>
      </w:pPr>
      <w:bookmarkStart w:id="0" w:name="JobCorps"/>
      <w:r>
        <w:rPr>
          <w:rFonts w:eastAsia="Times New Roman"/>
          <w:color w:val="000000"/>
          <w:sz w:val="26"/>
          <w:szCs w:val="26"/>
        </w:rPr>
        <w:t xml:space="preserve">In 2024, the ACS plans to add an internet self-response option to the group quarters data collection operation. The Census Bureau believes there is value in offering a self-response option to people living in certain types of group quarters--college/university student housing, group homes, military barracks, workers' group living quarters and </w:t>
      </w:r>
      <w:r>
        <w:rPr>
          <w:rFonts w:eastAsia="Times New Roman"/>
          <w:b/>
          <w:bCs/>
          <w:color w:val="000000"/>
          <w:sz w:val="26"/>
          <w:szCs w:val="26"/>
        </w:rPr>
        <w:t>Job Corps centers</w:t>
      </w:r>
      <w:r>
        <w:rPr>
          <w:rFonts w:eastAsia="Times New Roman"/>
          <w:color w:val="000000"/>
          <w:sz w:val="26"/>
          <w:szCs w:val="26"/>
        </w:rPr>
        <w:t>, and emergency and transitional shelter</w:t>
      </w:r>
      <w:bookmarkEnd w:id="0"/>
      <w:r>
        <w:rPr>
          <w:rFonts w:eastAsia="Times New Roman"/>
          <w:color w:val="000000"/>
          <w:sz w:val="26"/>
          <w:szCs w:val="26"/>
        </w:rPr>
        <w:t>s.</w:t>
      </w:r>
    </w:p>
    <w:p w14:paraId="59FE7D60" w14:textId="77777777" w:rsidR="00A84A49" w:rsidRDefault="00A84A49" w:rsidP="00A84A49">
      <w:pPr>
        <w:spacing w:after="0" w:line="240" w:lineRule="auto"/>
        <w:rPr>
          <w:color w:val="000000"/>
          <w:sz w:val="26"/>
          <w:szCs w:val="26"/>
        </w:rPr>
      </w:pPr>
    </w:p>
    <w:p w14:paraId="4FF19C12" w14:textId="77777777" w:rsidR="00A84A49" w:rsidRPr="00A84A49" w:rsidRDefault="00A84A49" w:rsidP="006A0C4F">
      <w:pPr>
        <w:pStyle w:val="ListParagraph"/>
        <w:numPr>
          <w:ilvl w:val="0"/>
          <w:numId w:val="1"/>
        </w:numPr>
        <w:spacing w:after="0" w:line="240" w:lineRule="auto"/>
        <w:rPr>
          <w:color w:val="000000"/>
          <w:sz w:val="26"/>
          <w:szCs w:val="26"/>
        </w:rPr>
      </w:pPr>
      <w:r w:rsidRPr="00A84A49">
        <w:rPr>
          <w:rFonts w:eastAsia="Times New Roman"/>
          <w:color w:val="000000"/>
          <w:sz w:val="26"/>
          <w:szCs w:val="26"/>
        </w:rPr>
        <w:t xml:space="preserve">Beginning with the 2024 data collection year, the ACS will use administrative data. The Census Bureau is obligated by law (title 13, U.S. Code) to use existing information that has already been collected by other government agencies, whenever possible and consistent with the kind, timeliness, </w:t>
      </w:r>
      <w:proofErr w:type="gramStart"/>
      <w:r w:rsidRPr="00A84A49">
        <w:rPr>
          <w:rFonts w:eastAsia="Times New Roman"/>
          <w:color w:val="000000"/>
          <w:sz w:val="26"/>
          <w:szCs w:val="26"/>
        </w:rPr>
        <w:t>quality</w:t>
      </w:r>
      <w:proofErr w:type="gramEnd"/>
      <w:r w:rsidRPr="00A84A49">
        <w:rPr>
          <w:rFonts w:eastAsia="Times New Roman"/>
          <w:color w:val="000000"/>
          <w:sz w:val="26"/>
          <w:szCs w:val="26"/>
        </w:rPr>
        <w:t xml:space="preserve"> and scope of the statistics required, instead of asking for such information directly from the public. The Census Bureau is allowed to use these data for statistical purposes only and may not use these records for enforcement purposes or to decide on eligibility for a benefit. </w:t>
      </w:r>
    </w:p>
    <w:p w14:paraId="02FD3AA1" w14:textId="77777777" w:rsidR="00A84A49" w:rsidRPr="00A84A49" w:rsidRDefault="00A84A49" w:rsidP="00A84A49">
      <w:pPr>
        <w:pStyle w:val="ListParagraph"/>
        <w:rPr>
          <w:rFonts w:eastAsia="Times New Roman"/>
          <w:color w:val="000000"/>
          <w:sz w:val="26"/>
          <w:szCs w:val="26"/>
        </w:rPr>
      </w:pPr>
    </w:p>
    <w:p w14:paraId="4F8F3250" w14:textId="093BA33A" w:rsidR="00A84A49" w:rsidRPr="00A84A49" w:rsidRDefault="00A84A49" w:rsidP="00A84A49">
      <w:pPr>
        <w:pStyle w:val="ListParagraph"/>
        <w:spacing w:after="0" w:line="240" w:lineRule="auto"/>
        <w:rPr>
          <w:color w:val="000000"/>
          <w:sz w:val="26"/>
          <w:szCs w:val="26"/>
        </w:rPr>
      </w:pPr>
      <w:r w:rsidRPr="00A84A49">
        <w:rPr>
          <w:rFonts w:eastAsia="Times New Roman"/>
          <w:color w:val="000000"/>
          <w:sz w:val="26"/>
          <w:szCs w:val="26"/>
        </w:rPr>
        <w:t>Additionally, Census Bureau research has shown that using administrative data can reduce respondent burden and improve the quality of the ACS data. The Census Bureau is focusing initial efforts to supplement or replace ACS survey data for several housing characteristics with administrative data from other sources,</w:t>
      </w:r>
      <w:r w:rsidRPr="00A84A49">
        <w:rPr>
          <w:rFonts w:eastAsia="Times New Roman"/>
          <w:color w:val="000000"/>
          <w:sz w:val="26"/>
          <w:szCs w:val="26"/>
        </w:rPr>
        <w:t xml:space="preserve"> </w:t>
      </w:r>
      <w:r w:rsidRPr="00A84A49">
        <w:rPr>
          <w:color w:val="000000"/>
          <w:sz w:val="26"/>
          <w:szCs w:val="26"/>
        </w:rPr>
        <w:t>such as property tax records. At a minimum, administrative data will be used for the question asking about property acreage beginning in 2024. Implementation for other housing items, such as agricultural sales and year built, may start later.</w:t>
      </w:r>
    </w:p>
    <w:p w14:paraId="438A022D" w14:textId="77777777" w:rsidR="00A84A49" w:rsidRDefault="00A84A49" w:rsidP="00A84A49">
      <w:pPr>
        <w:spacing w:after="0" w:line="240" w:lineRule="auto"/>
        <w:rPr>
          <w:color w:val="000000"/>
          <w:sz w:val="26"/>
          <w:szCs w:val="26"/>
        </w:rPr>
      </w:pPr>
    </w:p>
    <w:p w14:paraId="41DFD563" w14:textId="15F625CB" w:rsidR="00A84A49" w:rsidRPr="00A84A49" w:rsidRDefault="00A84A49" w:rsidP="00A84A49">
      <w:pPr>
        <w:pStyle w:val="ListParagraph"/>
        <w:numPr>
          <w:ilvl w:val="0"/>
          <w:numId w:val="1"/>
        </w:numPr>
        <w:spacing w:after="0" w:line="240" w:lineRule="auto"/>
        <w:rPr>
          <w:color w:val="000000"/>
          <w:sz w:val="26"/>
          <w:szCs w:val="26"/>
        </w:rPr>
      </w:pPr>
      <w:r w:rsidRPr="00A84A49">
        <w:rPr>
          <w:rFonts w:eastAsia="Times New Roman"/>
          <w:color w:val="000000"/>
          <w:sz w:val="26"/>
          <w:szCs w:val="26"/>
        </w:rPr>
        <w:t xml:space="preserve">In addition to using administrative records and in coordination with the Office of Management and Budget Interagency Committee for the ACS, the Census Bureau solicited proposals for question changes or additions from more than 20 Federal agencies. Approved topics underwent cognitive testing to verify that proposed question wording would be understood by respondents. Based on cognitive testing results, the Census Bureau proposes to update wording in 2024 for questions on three topics: condominium fees, home heating fuel, and journey to work. The Census Bureau proposes to implement these three topics without </w:t>
      </w:r>
      <w:r w:rsidRPr="00A84A49">
        <w:rPr>
          <w:color w:val="000000"/>
          <w:sz w:val="26"/>
          <w:szCs w:val="26"/>
        </w:rPr>
        <w:t xml:space="preserve">additional testing; other topics are still undergoing testing.  </w:t>
      </w:r>
    </w:p>
    <w:p w14:paraId="430A0B8F" w14:textId="77777777" w:rsidR="00A84A49" w:rsidRDefault="00A84A49" w:rsidP="00A84A49">
      <w:pPr>
        <w:spacing w:after="0" w:line="240" w:lineRule="auto"/>
        <w:rPr>
          <w:color w:val="000000"/>
          <w:sz w:val="26"/>
          <w:szCs w:val="26"/>
        </w:rPr>
      </w:pPr>
    </w:p>
    <w:p w14:paraId="736A498F" w14:textId="77777777" w:rsidR="00A84A49" w:rsidRDefault="00A84A49" w:rsidP="00A84A49">
      <w:pPr>
        <w:pStyle w:val="ListParagraph"/>
        <w:numPr>
          <w:ilvl w:val="0"/>
          <w:numId w:val="1"/>
        </w:numPr>
        <w:spacing w:after="0" w:line="240" w:lineRule="auto"/>
        <w:rPr>
          <w:rFonts w:eastAsia="Times New Roman"/>
          <w:color w:val="000000"/>
          <w:sz w:val="26"/>
          <w:szCs w:val="26"/>
        </w:rPr>
      </w:pPr>
      <w:r>
        <w:rPr>
          <w:rFonts w:eastAsia="Times New Roman"/>
          <w:color w:val="000000"/>
          <w:sz w:val="26"/>
          <w:szCs w:val="26"/>
        </w:rPr>
        <w:t xml:space="preserve">The condominium fees question would be extended to include homeowners' association (HOA) fees. Data sources continue to show housing units that are part of HOAs outnumber housing units in condominiums. </w:t>
      </w:r>
      <w:proofErr w:type="gramStart"/>
      <w:r>
        <w:rPr>
          <w:rFonts w:eastAsia="Times New Roman"/>
          <w:color w:val="000000"/>
          <w:sz w:val="26"/>
          <w:szCs w:val="26"/>
        </w:rPr>
        <w:t>In order to</w:t>
      </w:r>
      <w:proofErr w:type="gramEnd"/>
      <w:r>
        <w:rPr>
          <w:rFonts w:eastAsia="Times New Roman"/>
          <w:color w:val="000000"/>
          <w:sz w:val="26"/>
          <w:szCs w:val="26"/>
        </w:rPr>
        <w:t xml:space="preserve"> provide more comprehensive and accurate costs of owning a home, the ACS needs to capture HOA fees for these homes. Adding these fees to the existing condominium fees question avoids adding a new question to the ACS and therefore minimizes respondent burden.</w:t>
      </w:r>
    </w:p>
    <w:p w14:paraId="4F94E045" w14:textId="77777777" w:rsidR="00A84A49" w:rsidRDefault="00A84A49" w:rsidP="00A84A49">
      <w:pPr>
        <w:spacing w:after="0" w:line="240" w:lineRule="auto"/>
        <w:rPr>
          <w:color w:val="000000"/>
          <w:sz w:val="26"/>
          <w:szCs w:val="26"/>
        </w:rPr>
      </w:pPr>
    </w:p>
    <w:p w14:paraId="1D6C9182" w14:textId="77777777" w:rsidR="00A84A49" w:rsidRDefault="00A84A49" w:rsidP="00A84A49">
      <w:pPr>
        <w:pStyle w:val="ListParagraph"/>
        <w:numPr>
          <w:ilvl w:val="0"/>
          <w:numId w:val="1"/>
        </w:numPr>
        <w:spacing w:after="0" w:line="240" w:lineRule="auto"/>
        <w:rPr>
          <w:rFonts w:eastAsia="Times New Roman"/>
          <w:color w:val="000000"/>
          <w:sz w:val="26"/>
          <w:szCs w:val="26"/>
        </w:rPr>
      </w:pPr>
      <w:r>
        <w:rPr>
          <w:rFonts w:eastAsia="Times New Roman"/>
          <w:color w:val="000000"/>
          <w:sz w:val="26"/>
          <w:szCs w:val="26"/>
        </w:rPr>
        <w:t>The change to the home heating fuel question would update the natural gas and bottled gas categories. This will aid respondents in identifying the correct category more easily by using more commonly used terminology.</w:t>
      </w:r>
    </w:p>
    <w:p w14:paraId="6916E4EB" w14:textId="77777777" w:rsidR="00A84A49" w:rsidRDefault="00A84A49" w:rsidP="00A84A49">
      <w:pPr>
        <w:spacing w:after="0" w:line="240" w:lineRule="auto"/>
        <w:ind w:firstLine="60"/>
        <w:rPr>
          <w:color w:val="000000"/>
          <w:sz w:val="26"/>
          <w:szCs w:val="26"/>
        </w:rPr>
      </w:pPr>
    </w:p>
    <w:p w14:paraId="2E58EA28" w14:textId="77777777" w:rsidR="00A84A49" w:rsidRDefault="00A84A49" w:rsidP="00A84A49">
      <w:pPr>
        <w:pStyle w:val="ListParagraph"/>
        <w:numPr>
          <w:ilvl w:val="0"/>
          <w:numId w:val="1"/>
        </w:numPr>
        <w:spacing w:after="0" w:line="240" w:lineRule="auto"/>
        <w:rPr>
          <w:rFonts w:eastAsia="Times New Roman"/>
          <w:color w:val="000000"/>
          <w:sz w:val="26"/>
          <w:szCs w:val="26"/>
        </w:rPr>
      </w:pPr>
      <w:bookmarkStart w:id="1" w:name="JourneytoWork"/>
      <w:r>
        <w:rPr>
          <w:rFonts w:eastAsia="Times New Roman"/>
          <w:color w:val="000000"/>
          <w:sz w:val="26"/>
          <w:szCs w:val="26"/>
        </w:rPr>
        <w:t xml:space="preserve">The </w:t>
      </w:r>
      <w:r>
        <w:rPr>
          <w:rFonts w:eastAsia="Times New Roman"/>
          <w:b/>
          <w:bCs/>
          <w:color w:val="000000"/>
          <w:sz w:val="26"/>
          <w:szCs w:val="26"/>
        </w:rPr>
        <w:t>journey to work question</w:t>
      </w:r>
      <w:r>
        <w:rPr>
          <w:rFonts w:eastAsia="Times New Roman"/>
          <w:color w:val="000000"/>
          <w:sz w:val="26"/>
          <w:szCs w:val="26"/>
        </w:rPr>
        <w:t xml:space="preserve"> would be updated to include ride-sharing services as a mode of transportation to work to account for new and growing travel trends. This will reduce ambiguity in the current question about where respondents should report ride-sharing commutes and will allow the government to monitor changes in transportation patterns for planning purposes.</w:t>
      </w:r>
      <w:bookmarkEnd w:id="1"/>
    </w:p>
    <w:p w14:paraId="241BD1C1" w14:textId="77777777" w:rsidR="00A84A49" w:rsidRDefault="00A84A49" w:rsidP="00A84A49">
      <w:pPr>
        <w:spacing w:after="0" w:line="240" w:lineRule="auto"/>
        <w:rPr>
          <w:color w:val="000000"/>
          <w:sz w:val="26"/>
          <w:szCs w:val="26"/>
        </w:rPr>
      </w:pPr>
    </w:p>
    <w:p w14:paraId="5A4AAF0E" w14:textId="77777777" w:rsidR="00A84A49" w:rsidRDefault="00A84A49" w:rsidP="00A84A49">
      <w:pPr>
        <w:spacing w:after="0" w:line="240" w:lineRule="auto"/>
        <w:rPr>
          <w:color w:val="000000"/>
          <w:sz w:val="26"/>
          <w:szCs w:val="26"/>
        </w:rPr>
      </w:pPr>
    </w:p>
    <w:p w14:paraId="7E2A9309" w14:textId="77777777" w:rsidR="00A84A49" w:rsidRDefault="00A84A49" w:rsidP="00A84A49">
      <w:pPr>
        <w:spacing w:after="0" w:line="240" w:lineRule="auto"/>
        <w:rPr>
          <w:b/>
          <w:bCs/>
          <w:color w:val="0070C0"/>
          <w:sz w:val="26"/>
          <w:szCs w:val="26"/>
        </w:rPr>
      </w:pPr>
      <w:hyperlink r:id="rId5" w:history="1">
        <w:r>
          <w:rPr>
            <w:rStyle w:val="Hyperlink"/>
            <w:b/>
            <w:bCs/>
            <w:color w:val="0070C0"/>
            <w:sz w:val="26"/>
            <w:szCs w:val="26"/>
          </w:rPr>
          <w:t>Additional background / method of collection / burden hour estimates</w:t>
        </w:r>
      </w:hyperlink>
    </w:p>
    <w:p w14:paraId="4257B023" w14:textId="77777777" w:rsidR="00A84A49" w:rsidRDefault="00A84A49" w:rsidP="00A84A49">
      <w:pPr>
        <w:spacing w:after="0" w:line="240" w:lineRule="auto"/>
        <w:ind w:right="2304"/>
        <w:rPr>
          <w:color w:val="000000"/>
          <w:sz w:val="26"/>
          <w:szCs w:val="26"/>
        </w:rPr>
      </w:pPr>
    </w:p>
    <w:p w14:paraId="390D0FE6" w14:textId="77777777" w:rsidR="00A84A49" w:rsidRDefault="00A84A49" w:rsidP="00A84A49">
      <w:pPr>
        <w:spacing w:after="0" w:line="240" w:lineRule="auto"/>
        <w:ind w:right="2304"/>
        <w:rPr>
          <w:color w:val="000000"/>
          <w:sz w:val="26"/>
          <w:szCs w:val="26"/>
        </w:rPr>
      </w:pPr>
    </w:p>
    <w:p w14:paraId="4527B495" w14:textId="77777777" w:rsidR="00A84A49" w:rsidRDefault="00A84A49" w:rsidP="00A84A49">
      <w:pPr>
        <w:spacing w:after="0" w:line="240" w:lineRule="auto"/>
        <w:ind w:right="2304"/>
        <w:rPr>
          <w:color w:val="000000"/>
          <w:sz w:val="26"/>
          <w:szCs w:val="26"/>
        </w:rPr>
      </w:pPr>
    </w:p>
    <w:p w14:paraId="0FCE1949" w14:textId="77777777" w:rsidR="00A84A49" w:rsidRDefault="00A84A49"/>
    <w:sectPr w:rsidR="00A84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B87EB2"/>
    <w:multiLevelType w:val="hybridMultilevel"/>
    <w:tmpl w:val="917CA5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3377165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A49"/>
    <w:rsid w:val="00736A92"/>
    <w:rsid w:val="00A84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9342B"/>
  <w15:chartTrackingRefBased/>
  <w15:docId w15:val="{81778740-7CC3-40FD-93C3-3E95D6B6A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A49"/>
    <w:pPr>
      <w:spacing w:line="252"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4A49"/>
    <w:rPr>
      <w:color w:val="0563C1"/>
      <w:u w:val="single"/>
    </w:rPr>
  </w:style>
  <w:style w:type="paragraph" w:styleId="ListParagraph">
    <w:name w:val="List Paragraph"/>
    <w:basedOn w:val="Normal"/>
    <w:uiPriority w:val="34"/>
    <w:qFormat/>
    <w:rsid w:val="00A84A4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457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cc02.safelinks.protection.outlook.com/?url=https%3A%2F%2Fwww.govinfo.gov%2Fcontent%2Fpkg%2FFR-2022-09-13%2Fpdf%2F2022-19705.pdf&amp;data=05%7C01%7CTheis.teresa.J%40dol.gov%7C6ca410601afe47b912df08da9597c818%7C75a6305472044e0c9126adab971d4aca%7C0%7C0%7C637986776368964804%7CUnknown%7CTWFpbGZsb3d8eyJWIjoiMC4wLjAwMDAiLCJQIjoiV2luMzIiLCJBTiI6Ik1haWwiLCJXVCI6Mn0%3D%7C3000%7C%7C%7C&amp;sdata=us5x5xx%2FVVIdvnvovMGf5VX3vQ6LFX5NEQGTTmjvstc%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974</Words>
  <Characters>5553</Characters>
  <Application>Microsoft Office Word</Application>
  <DocSecurity>0</DocSecurity>
  <Lines>46</Lines>
  <Paragraphs>13</Paragraphs>
  <ScaleCrop>false</ScaleCrop>
  <Company>Department of Labor</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Theis, Teresa J - ETA</dc:creator>
  <cp:keywords/>
  <dc:description/>
  <cp:lastModifiedBy>Theis, Teresa J - ETA</cp:lastModifiedBy>
  <cp:revision>1</cp:revision>
  <dcterms:created xsi:type="dcterms:W3CDTF">2022-09-13T21:33:00Z</dcterms:created>
  <dcterms:modified xsi:type="dcterms:W3CDTF">2022-09-13T21:35:00Z</dcterms:modified>
</cp:coreProperties>
</file>