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DE4DD3" w14:textId="2C53C4D2" w:rsidR="00D00539" w:rsidRPr="00AD6FA4" w:rsidRDefault="00B46E98" w:rsidP="00872124">
      <w:pPr>
        <w:jc w:val="center"/>
        <w:rPr>
          <w:b/>
          <w:bCs/>
          <w:color w:val="7030A0"/>
        </w:rPr>
      </w:pPr>
      <w:r w:rsidRPr="00AD6FA4">
        <w:rPr>
          <w:b/>
          <w:bCs/>
          <w:color w:val="7030A0"/>
        </w:rPr>
        <w:t xml:space="preserve">EARNINGS AND </w:t>
      </w:r>
      <w:r w:rsidR="00524989" w:rsidRPr="00AD6FA4">
        <w:rPr>
          <w:b/>
          <w:bCs/>
          <w:color w:val="7030A0"/>
        </w:rPr>
        <w:t xml:space="preserve">COMPENSATION TRENDS OVER </w:t>
      </w:r>
      <w:r w:rsidR="00DD6C6B" w:rsidRPr="00AD6FA4">
        <w:rPr>
          <w:b/>
          <w:bCs/>
          <w:color w:val="7030A0"/>
        </w:rPr>
        <w:t>MORE THAN</w:t>
      </w:r>
      <w:r w:rsidR="00524989" w:rsidRPr="00AD6FA4">
        <w:rPr>
          <w:b/>
          <w:bCs/>
          <w:color w:val="7030A0"/>
        </w:rPr>
        <w:t xml:space="preserve"> </w:t>
      </w:r>
      <w:r w:rsidRPr="00AD6FA4">
        <w:rPr>
          <w:b/>
          <w:bCs/>
          <w:color w:val="7030A0"/>
        </w:rPr>
        <w:t>A CENTURY</w:t>
      </w:r>
    </w:p>
    <w:p w14:paraId="54334C4A" w14:textId="77777777" w:rsidR="00524989" w:rsidRDefault="00524989"/>
    <w:p w14:paraId="450B12F5" w14:textId="67092299" w:rsidR="00B46E98" w:rsidRDefault="00E83F00">
      <w:r>
        <w:t>An accurate understanding of</w:t>
      </w:r>
      <w:r w:rsidR="00581AA0">
        <w:t xml:space="preserve"> how much individuals earn, and how earnings change over time, is</w:t>
      </w:r>
      <w:r w:rsidR="00C01BC9">
        <w:t xml:space="preserve"> essential to </w:t>
      </w:r>
      <w:r w:rsidR="004B0A89">
        <w:t xml:space="preserve">judgments about </w:t>
      </w:r>
      <w:r w:rsidR="00B859EF">
        <w:t xml:space="preserve">basic living standards, the role of earnings in </w:t>
      </w:r>
      <w:r w:rsidR="009F768C">
        <w:t xml:space="preserve">relation to overall </w:t>
      </w:r>
      <w:r w:rsidR="00A106EC">
        <w:t>income, equity and inequality</w:t>
      </w:r>
      <w:r w:rsidR="000E2D1F">
        <w:t xml:space="preserve"> concerns</w:t>
      </w:r>
      <w:r w:rsidR="009C0651">
        <w:t xml:space="preserve">, economic progress, and to decisions about government policy </w:t>
      </w:r>
      <w:r w:rsidR="00975C30">
        <w:t xml:space="preserve">regarding </w:t>
      </w:r>
      <w:r w:rsidR="009C0651">
        <w:t>the foregoing</w:t>
      </w:r>
      <w:r w:rsidR="00975C30">
        <w:t xml:space="preserve">. </w:t>
      </w:r>
    </w:p>
    <w:p w14:paraId="14C7524D" w14:textId="77777777" w:rsidR="00975C30" w:rsidRDefault="00975C30"/>
    <w:p w14:paraId="309C489E" w14:textId="635A454C" w:rsidR="00975C30" w:rsidRDefault="00975C30">
      <w:r>
        <w:t xml:space="preserve">Many </w:t>
      </w:r>
      <w:r w:rsidR="00436A08">
        <w:t xml:space="preserve">surveys report </w:t>
      </w:r>
      <w:r w:rsidR="00C14D81">
        <w:t xml:space="preserve">earnings, with </w:t>
      </w:r>
      <w:r w:rsidR="00E80003">
        <w:t>frequently</w:t>
      </w:r>
      <w:r w:rsidR="00EB6BA9">
        <w:t xml:space="preserve"> </w:t>
      </w:r>
      <w:r w:rsidR="00C14D81">
        <w:t>diverse results</w:t>
      </w:r>
      <w:r w:rsidR="00EB6BA9">
        <w:t xml:space="preserve"> </w:t>
      </w:r>
      <w:r w:rsidR="005864F7">
        <w:t xml:space="preserve">that </w:t>
      </w:r>
      <w:r w:rsidR="00EB6BA9">
        <w:t xml:space="preserve">are often attributable to varying earnings definitions and </w:t>
      </w:r>
      <w:r w:rsidR="00E80003">
        <w:t xml:space="preserve">which workers are included.  </w:t>
      </w:r>
      <w:r w:rsidR="007C12A6">
        <w:t xml:space="preserve">This analysis examines </w:t>
      </w:r>
      <w:r w:rsidR="00465429">
        <w:t>several</w:t>
      </w:r>
      <w:r w:rsidR="008D7EA7">
        <w:t xml:space="preserve"> governmental </w:t>
      </w:r>
      <w:r w:rsidR="005864F7">
        <w:t xml:space="preserve">sources </w:t>
      </w:r>
      <w:r w:rsidR="008D7EA7">
        <w:t>from the U.S. Census Bureau</w:t>
      </w:r>
      <w:r w:rsidR="00465429">
        <w:t>,</w:t>
      </w:r>
      <w:r w:rsidR="008D7EA7">
        <w:t xml:space="preserve"> Bureau of Labor Statistics (BLS)</w:t>
      </w:r>
      <w:r w:rsidR="00465429">
        <w:t xml:space="preserve"> and the U.S. Bureau of Economic Analysis (BEA)</w:t>
      </w:r>
      <w:r w:rsidR="009B4FD8">
        <w:t>, which provide broad coverage</w:t>
      </w:r>
      <w:r w:rsidR="0080681B">
        <w:t xml:space="preserve">, cover lengthy periods, </w:t>
      </w:r>
      <w:r w:rsidR="009B4FD8">
        <w:t xml:space="preserve">and are all of very high quality. </w:t>
      </w:r>
      <w:r w:rsidR="00EF43B4">
        <w:t xml:space="preserve">The most important points below are highlighted in boldface </w:t>
      </w:r>
      <w:r w:rsidR="00EF43B4" w:rsidRPr="007638EF">
        <w:rPr>
          <w:b/>
          <w:bCs/>
          <w:color w:val="7030A0"/>
        </w:rPr>
        <w:t>purple</w:t>
      </w:r>
      <w:r w:rsidR="00EF43B4">
        <w:t xml:space="preserve">. </w:t>
      </w:r>
      <w:r w:rsidR="007638EF">
        <w:t xml:space="preserve">Supporting data are attached above. </w:t>
      </w:r>
      <w:r w:rsidR="002209B7">
        <w:t xml:space="preserve">All compensation/earnings amounts analyzed </w:t>
      </w:r>
      <w:r w:rsidR="00294EE6">
        <w:t xml:space="preserve">are adjusted for inflation, </w:t>
      </w:r>
      <w:r w:rsidR="00211BE6">
        <w:t>using the BLS Consumer Price Index (CPI) for all urban consumers (the conventional</w:t>
      </w:r>
      <w:r w:rsidR="00D4082F">
        <w:t xml:space="preserve"> correction for inflation, although the Census Bureau uses a somewhat different CPI </w:t>
      </w:r>
      <w:r w:rsidR="0072410A">
        <w:t>scale</w:t>
      </w:r>
      <w:r w:rsidR="000E7253">
        <w:t xml:space="preserve">, for which the necessary data aren’t </w:t>
      </w:r>
      <w:r w:rsidR="000E5E43">
        <w:t>available to apply it to some older earnings data</w:t>
      </w:r>
      <w:r w:rsidR="0072410A">
        <w:t>)</w:t>
      </w:r>
      <w:r w:rsidR="00767952">
        <w:t xml:space="preserve"> for 2024 dollars</w:t>
      </w:r>
      <w:r w:rsidR="0072410A">
        <w:t>.</w:t>
      </w:r>
      <w:r w:rsidR="000A242E">
        <w:rPr>
          <w:rStyle w:val="FootnoteReference"/>
        </w:rPr>
        <w:footnoteReference w:id="1"/>
      </w:r>
      <w:r w:rsidR="0072410A">
        <w:t xml:space="preserve">  </w:t>
      </w:r>
    </w:p>
    <w:p w14:paraId="61E472C4" w14:textId="77777777" w:rsidR="00492534" w:rsidRDefault="00492534"/>
    <w:p w14:paraId="541D03BB" w14:textId="48EF8BA5" w:rsidR="00492534" w:rsidRDefault="00FB6B4B">
      <w:r>
        <w:t xml:space="preserve">Some of the earliest work-related data collected by BLS and its predecessors </w:t>
      </w:r>
      <w:r w:rsidR="008E670D">
        <w:t>involved earnings, although little of these data are consistent with our modern series</w:t>
      </w:r>
      <w:r w:rsidR="00EC0A8B">
        <w:t>.</w:t>
      </w:r>
      <w:r w:rsidR="00FB20FC">
        <w:rPr>
          <w:rStyle w:val="FootnoteReference"/>
        </w:rPr>
        <w:footnoteReference w:id="2"/>
      </w:r>
      <w:r w:rsidR="00EC0A8B">
        <w:t xml:space="preserve">  This analysis reviews relatively consistent </w:t>
      </w:r>
      <w:r w:rsidR="00FB20FC">
        <w:t xml:space="preserve">modern </w:t>
      </w:r>
      <w:r w:rsidR="00EC0A8B">
        <w:t xml:space="preserve">data, which are </w:t>
      </w:r>
      <w:r w:rsidR="00FB20FC">
        <w:t>available in some cases from the early 20</w:t>
      </w:r>
      <w:r w:rsidR="00FB20FC" w:rsidRPr="00FB20FC">
        <w:rPr>
          <w:vertAlign w:val="superscript"/>
        </w:rPr>
        <w:t>th</w:t>
      </w:r>
      <w:r w:rsidR="00FB20FC">
        <w:t xml:space="preserve"> century forward.  </w:t>
      </w:r>
    </w:p>
    <w:p w14:paraId="64D05C05" w14:textId="77777777" w:rsidR="008E6210" w:rsidRDefault="008E6210"/>
    <w:p w14:paraId="0E6763A0" w14:textId="77777777" w:rsidR="00E0729C" w:rsidRDefault="008E6210" w:rsidP="002E7E9A">
      <w:pPr>
        <w:pBdr>
          <w:top w:val="single" w:sz="4" w:space="1" w:color="FF0000"/>
          <w:left w:val="single" w:sz="4" w:space="4" w:color="FF0000"/>
          <w:bottom w:val="single" w:sz="4" w:space="1" w:color="FF0000"/>
          <w:right w:val="single" w:sz="4" w:space="4" w:color="FF0000"/>
        </w:pBdr>
        <w:rPr>
          <w:b/>
          <w:bCs/>
          <w:color w:val="7030A0"/>
        </w:rPr>
      </w:pPr>
      <w:r w:rsidRPr="00FE39F6">
        <w:rPr>
          <w:b/>
          <w:bCs/>
          <w:color w:val="00B050"/>
        </w:rPr>
        <w:t>Summary</w:t>
      </w:r>
      <w:r>
        <w:rPr>
          <w:b/>
          <w:bCs/>
        </w:rPr>
        <w:t xml:space="preserve">. </w:t>
      </w:r>
      <w:r w:rsidR="00FE39F6">
        <w:rPr>
          <w:b/>
          <w:bCs/>
        </w:rPr>
        <w:t xml:space="preserve"> </w:t>
      </w:r>
      <w:r w:rsidR="00227E7C">
        <w:rPr>
          <w:b/>
          <w:bCs/>
          <w:color w:val="7030A0"/>
        </w:rPr>
        <w:t xml:space="preserve">Over the long haul, compensation and earnings have tended to grow, with </w:t>
      </w:r>
      <w:r w:rsidR="0090226E">
        <w:rPr>
          <w:b/>
          <w:bCs/>
          <w:color w:val="7030A0"/>
        </w:rPr>
        <w:t xml:space="preserve">exceptions during extended depressions/recessions and high-inflation </w:t>
      </w:r>
      <w:r w:rsidR="00E0729C">
        <w:rPr>
          <w:b/>
          <w:bCs/>
          <w:color w:val="7030A0"/>
        </w:rPr>
        <w:t xml:space="preserve">periods.  </w:t>
      </w:r>
    </w:p>
    <w:p w14:paraId="564C4C20" w14:textId="77777777" w:rsidR="00FF5E63" w:rsidRDefault="00291BA4" w:rsidP="002E7E9A">
      <w:pPr>
        <w:pBdr>
          <w:top w:val="single" w:sz="4" w:space="1" w:color="FF0000"/>
          <w:left w:val="single" w:sz="4" w:space="4" w:color="FF0000"/>
          <w:bottom w:val="single" w:sz="4" w:space="1" w:color="FF0000"/>
          <w:right w:val="single" w:sz="4" w:space="4" w:color="FF0000"/>
        </w:pBdr>
        <w:rPr>
          <w:b/>
          <w:bCs/>
          <w:color w:val="7030A0"/>
        </w:rPr>
      </w:pPr>
      <w:r>
        <w:rPr>
          <w:b/>
          <w:bCs/>
          <w:color w:val="7030A0"/>
        </w:rPr>
        <w:t xml:space="preserve">Trends differ somewhat depending upon the source, but a common pattern shows </w:t>
      </w:r>
      <w:r w:rsidR="0092455A">
        <w:rPr>
          <w:b/>
          <w:bCs/>
          <w:color w:val="7030A0"/>
        </w:rPr>
        <w:t xml:space="preserve">decline or stagnation in several key periods:  the Great Depression, the 1970s (sometimes extending into the </w:t>
      </w:r>
      <w:r w:rsidR="007B26F0">
        <w:rPr>
          <w:b/>
          <w:bCs/>
          <w:color w:val="7030A0"/>
        </w:rPr>
        <w:t xml:space="preserve">1980s and even 1990s), the Great Recession period of </w:t>
      </w:r>
      <w:r w:rsidR="007B26F0" w:rsidRPr="005564FF">
        <w:rPr>
          <w:b/>
          <w:bCs/>
          <w:color w:val="7030A0"/>
        </w:rPr>
        <w:t xml:space="preserve">approximately </w:t>
      </w:r>
      <w:r w:rsidR="00655D60" w:rsidRPr="005564FF">
        <w:rPr>
          <w:b/>
          <w:bCs/>
          <w:color w:val="7030A0"/>
        </w:rPr>
        <w:t>2007 through the early 2010s, and the recent high-</w:t>
      </w:r>
      <w:r w:rsidR="005564FF" w:rsidRPr="005564FF">
        <w:rPr>
          <w:b/>
          <w:bCs/>
          <w:color w:val="7030A0"/>
        </w:rPr>
        <w:t xml:space="preserve">inflation period in 2021 and 2022. </w:t>
      </w:r>
    </w:p>
    <w:p w14:paraId="3ADA3791" w14:textId="4C88EF81" w:rsidR="008149BA" w:rsidRPr="00B34D07" w:rsidRDefault="002C4883" w:rsidP="002E7E9A">
      <w:pPr>
        <w:pBdr>
          <w:top w:val="single" w:sz="4" w:space="1" w:color="FF0000"/>
          <w:left w:val="single" w:sz="4" w:space="4" w:color="FF0000"/>
          <w:bottom w:val="single" w:sz="4" w:space="1" w:color="FF0000"/>
          <w:right w:val="single" w:sz="4" w:space="4" w:color="FF0000"/>
        </w:pBdr>
        <w:rPr>
          <w:b/>
          <w:bCs/>
          <w:color w:val="FF0000"/>
        </w:rPr>
      </w:pPr>
      <w:r w:rsidRPr="00B34D07">
        <w:rPr>
          <w:b/>
          <w:bCs/>
          <w:color w:val="FF0000"/>
        </w:rPr>
        <w:t xml:space="preserve">The latest and broadest compensation data </w:t>
      </w:r>
      <w:r w:rsidR="00E04162" w:rsidRPr="00B34D07">
        <w:rPr>
          <w:b/>
          <w:bCs/>
          <w:color w:val="FF0000"/>
        </w:rPr>
        <w:t xml:space="preserve">(now available for 2024) show the </w:t>
      </w:r>
      <w:r w:rsidR="0068174B" w:rsidRPr="00B34D07">
        <w:rPr>
          <w:b/>
          <w:bCs/>
          <w:color w:val="FF0000"/>
        </w:rPr>
        <w:t xml:space="preserve">steepest compensation </w:t>
      </w:r>
      <w:r w:rsidR="009A5B3F" w:rsidRPr="00B34D07">
        <w:rPr>
          <w:b/>
          <w:bCs/>
          <w:color w:val="FF0000"/>
        </w:rPr>
        <w:t xml:space="preserve">increases, although </w:t>
      </w:r>
      <w:r w:rsidR="00595240" w:rsidRPr="00B34D07">
        <w:rPr>
          <w:b/>
          <w:bCs/>
          <w:color w:val="FF0000"/>
        </w:rPr>
        <w:t xml:space="preserve">median </w:t>
      </w:r>
      <w:r w:rsidR="009A5B3F" w:rsidRPr="00B34D07">
        <w:rPr>
          <w:b/>
          <w:bCs/>
          <w:color w:val="FF0000"/>
        </w:rPr>
        <w:t xml:space="preserve">earnings for </w:t>
      </w:r>
      <w:r w:rsidR="00595240" w:rsidRPr="00B34D07">
        <w:rPr>
          <w:b/>
          <w:bCs/>
          <w:color w:val="FF0000"/>
        </w:rPr>
        <w:t xml:space="preserve">full-time workers (not just employees) </w:t>
      </w:r>
      <w:r w:rsidR="003F1C3D" w:rsidRPr="00B34D07">
        <w:rPr>
          <w:b/>
          <w:bCs/>
          <w:color w:val="FF0000"/>
        </w:rPr>
        <w:t xml:space="preserve">fell between 2023 and 2024, and </w:t>
      </w:r>
      <w:r w:rsidR="00595240" w:rsidRPr="00B34D07">
        <w:rPr>
          <w:b/>
          <w:bCs/>
          <w:color w:val="FF0000"/>
        </w:rPr>
        <w:t xml:space="preserve">remain </w:t>
      </w:r>
      <w:r w:rsidR="003F1C3D" w:rsidRPr="00B34D07">
        <w:rPr>
          <w:b/>
          <w:bCs/>
          <w:color w:val="FF0000"/>
        </w:rPr>
        <w:t xml:space="preserve">below the 2021 level (albeit slightly higher than </w:t>
      </w:r>
      <w:r w:rsidR="005A6E47" w:rsidRPr="00B34D07">
        <w:rPr>
          <w:b/>
          <w:bCs/>
          <w:color w:val="FF0000"/>
        </w:rPr>
        <w:t xml:space="preserve">2019).  </w:t>
      </w:r>
      <w:r w:rsidR="00B5005D">
        <w:rPr>
          <w:b/>
          <w:bCs/>
          <w:color w:val="FF0000"/>
        </w:rPr>
        <w:t xml:space="preserve">When 2023 annual data become available later this year, we may have a clearer picture of the most recent trends. </w:t>
      </w:r>
    </w:p>
    <w:p w14:paraId="144524B7" w14:textId="0B2F7D24" w:rsidR="008E6210" w:rsidRDefault="00FF5E63" w:rsidP="002E7E9A">
      <w:pPr>
        <w:pBdr>
          <w:top w:val="single" w:sz="4" w:space="1" w:color="FF0000"/>
          <w:left w:val="single" w:sz="4" w:space="4" w:color="FF0000"/>
          <w:bottom w:val="single" w:sz="4" w:space="1" w:color="FF0000"/>
          <w:right w:val="single" w:sz="4" w:space="4" w:color="FF0000"/>
        </w:pBdr>
        <w:rPr>
          <w:b/>
          <w:bCs/>
          <w:color w:val="7030A0"/>
        </w:rPr>
      </w:pPr>
      <w:r w:rsidRPr="00FF5E63">
        <w:rPr>
          <w:b/>
          <w:bCs/>
          <w:color w:val="7030A0"/>
        </w:rPr>
        <w:t>There can be no single best earnings indicator</w:t>
      </w:r>
      <w:r w:rsidR="00182033">
        <w:t xml:space="preserve">, </w:t>
      </w:r>
      <w:r w:rsidR="00182033">
        <w:rPr>
          <w:b/>
          <w:bCs/>
          <w:color w:val="7030A0"/>
        </w:rPr>
        <w:t xml:space="preserve">because no single measure </w:t>
      </w:r>
      <w:r w:rsidR="00B43403">
        <w:rPr>
          <w:b/>
          <w:bCs/>
          <w:color w:val="7030A0"/>
        </w:rPr>
        <w:t xml:space="preserve">fully </w:t>
      </w:r>
      <w:r w:rsidR="00182033">
        <w:rPr>
          <w:b/>
          <w:bCs/>
          <w:color w:val="7030A0"/>
        </w:rPr>
        <w:t xml:space="preserve">accounts for </w:t>
      </w:r>
      <w:r w:rsidR="009268E7">
        <w:rPr>
          <w:b/>
          <w:bCs/>
          <w:color w:val="7030A0"/>
        </w:rPr>
        <w:t>changes in the number of earners (lower during recessions),</w:t>
      </w:r>
      <w:r w:rsidR="00B43403">
        <w:rPr>
          <w:b/>
          <w:bCs/>
          <w:color w:val="7030A0"/>
        </w:rPr>
        <w:t xml:space="preserve"> </w:t>
      </w:r>
      <w:r w:rsidR="00CC7C47">
        <w:rPr>
          <w:b/>
          <w:bCs/>
          <w:color w:val="7030A0"/>
        </w:rPr>
        <w:t xml:space="preserve">and </w:t>
      </w:r>
      <w:r w:rsidR="00B43403">
        <w:rPr>
          <w:b/>
          <w:bCs/>
          <w:color w:val="7030A0"/>
        </w:rPr>
        <w:t xml:space="preserve">variations in work time </w:t>
      </w:r>
      <w:r w:rsidR="00786389">
        <w:rPr>
          <w:b/>
          <w:bCs/>
          <w:color w:val="7030A0"/>
        </w:rPr>
        <w:t>(whether part-time work, or jobless spells during a year)</w:t>
      </w:r>
      <w:r w:rsidR="00DB71FB">
        <w:rPr>
          <w:b/>
          <w:bCs/>
          <w:color w:val="7030A0"/>
        </w:rPr>
        <w:t xml:space="preserve">.  </w:t>
      </w:r>
      <w:r w:rsidR="007931AC">
        <w:rPr>
          <w:b/>
          <w:bCs/>
          <w:color w:val="7030A0"/>
        </w:rPr>
        <w:t xml:space="preserve">Therefore the most prudent analytical method is to examine </w:t>
      </w:r>
      <w:r w:rsidR="00A53199">
        <w:rPr>
          <w:b/>
          <w:bCs/>
          <w:color w:val="7030A0"/>
        </w:rPr>
        <w:t xml:space="preserve">patterns across multiple compensation surveys.  </w:t>
      </w:r>
    </w:p>
    <w:p w14:paraId="6BE2E9B2" w14:textId="77777777" w:rsidR="00BF0698" w:rsidRDefault="004A6838" w:rsidP="002E7E9A">
      <w:pPr>
        <w:pBdr>
          <w:top w:val="single" w:sz="4" w:space="1" w:color="FF0000"/>
          <w:left w:val="single" w:sz="4" w:space="4" w:color="FF0000"/>
          <w:bottom w:val="single" w:sz="4" w:space="1" w:color="FF0000"/>
          <w:right w:val="single" w:sz="4" w:space="4" w:color="FF0000"/>
        </w:pBdr>
        <w:rPr>
          <w:b/>
          <w:bCs/>
          <w:color w:val="7030A0"/>
        </w:rPr>
      </w:pPr>
      <w:r>
        <w:rPr>
          <w:b/>
          <w:bCs/>
          <w:color w:val="7030A0"/>
        </w:rPr>
        <w:t>Several additional problems complicate comparisons over time</w:t>
      </w:r>
      <w:r w:rsidR="00FF185D">
        <w:rPr>
          <w:b/>
          <w:bCs/>
          <w:color w:val="7030A0"/>
        </w:rPr>
        <w:t xml:space="preserve">.  Most series examine individual earnings, but most individuals operate within </w:t>
      </w:r>
      <w:r w:rsidR="008E5E0E">
        <w:rPr>
          <w:b/>
          <w:bCs/>
          <w:color w:val="7030A0"/>
        </w:rPr>
        <w:t xml:space="preserve">households, and the </w:t>
      </w:r>
      <w:r w:rsidR="00CE0D57">
        <w:rPr>
          <w:b/>
          <w:bCs/>
          <w:color w:val="7030A0"/>
        </w:rPr>
        <w:t>rising</w:t>
      </w:r>
      <w:r w:rsidR="008E5E0E">
        <w:rPr>
          <w:b/>
          <w:bCs/>
          <w:color w:val="7030A0"/>
        </w:rPr>
        <w:t xml:space="preserve"> prevalence of </w:t>
      </w:r>
      <w:r w:rsidR="00CE0D57">
        <w:rPr>
          <w:b/>
          <w:bCs/>
          <w:color w:val="7030A0"/>
        </w:rPr>
        <w:t xml:space="preserve">women in the paid workforce increased multiple earners in households. </w:t>
      </w:r>
    </w:p>
    <w:p w14:paraId="4915FA25" w14:textId="4218F25D" w:rsidR="00A808A9" w:rsidRPr="00FF5E63" w:rsidRDefault="00BF0698" w:rsidP="002E7E9A">
      <w:pPr>
        <w:pBdr>
          <w:top w:val="single" w:sz="4" w:space="1" w:color="FF0000"/>
          <w:left w:val="single" w:sz="4" w:space="4" w:color="FF0000"/>
          <w:bottom w:val="single" w:sz="4" w:space="1" w:color="FF0000"/>
          <w:right w:val="single" w:sz="4" w:space="4" w:color="FF0000"/>
        </w:pBdr>
      </w:pPr>
      <w:r>
        <w:rPr>
          <w:b/>
          <w:bCs/>
          <w:color w:val="7030A0"/>
        </w:rPr>
        <w:t xml:space="preserve">Data sources vary in their breadth of coverage of workers </w:t>
      </w:r>
      <w:r w:rsidR="001A4AB6">
        <w:rPr>
          <w:b/>
          <w:bCs/>
          <w:color w:val="7030A0"/>
        </w:rPr>
        <w:t xml:space="preserve">(from private sector employees only to all workers); compensation (from </w:t>
      </w:r>
      <w:r w:rsidR="00783113">
        <w:rPr>
          <w:b/>
          <w:bCs/>
          <w:color w:val="7030A0"/>
        </w:rPr>
        <w:t xml:space="preserve">monetary earnings only to all compensation, including non-monetary </w:t>
      </w:r>
      <w:r w:rsidR="000A0BC8">
        <w:rPr>
          <w:b/>
          <w:bCs/>
          <w:color w:val="7030A0"/>
        </w:rPr>
        <w:t xml:space="preserve">benefits); whether the information comes from employers (which don’t account for multiple jobs) or earners </w:t>
      </w:r>
      <w:r w:rsidR="005010A1">
        <w:rPr>
          <w:b/>
          <w:bCs/>
          <w:color w:val="7030A0"/>
        </w:rPr>
        <w:t xml:space="preserve">themselves; and how up to date the information is.  </w:t>
      </w:r>
      <w:r w:rsidR="009267F7">
        <w:rPr>
          <w:b/>
          <w:bCs/>
          <w:color w:val="7030A0"/>
        </w:rPr>
        <w:t xml:space="preserve">For example, we now have hourly and weekly compensation/earnings data through </w:t>
      </w:r>
      <w:r w:rsidR="00437A17">
        <w:rPr>
          <w:b/>
          <w:bCs/>
          <w:color w:val="7030A0"/>
        </w:rPr>
        <w:t xml:space="preserve">sometimes nearly the first half of 2024, but no annual compensation/earnings data later than 2022 (2023 data will be </w:t>
      </w:r>
      <w:r w:rsidR="002E7E9A">
        <w:rPr>
          <w:b/>
          <w:bCs/>
          <w:color w:val="7030A0"/>
        </w:rPr>
        <w:t xml:space="preserve">released later this year).  </w:t>
      </w:r>
    </w:p>
    <w:p w14:paraId="473082DA" w14:textId="77777777" w:rsidR="00B875B9" w:rsidRDefault="00B875B9"/>
    <w:p w14:paraId="3DBB1F92" w14:textId="61A52797" w:rsidR="00ED4975" w:rsidRDefault="00A77B76">
      <w:r>
        <w:t xml:space="preserve">This version considerably extends a prior analysis, which was restricted to three of </w:t>
      </w:r>
      <w:r w:rsidR="00514A26">
        <w:t xml:space="preserve">the best sources, extending some of these further back in time, and including additional </w:t>
      </w:r>
      <w:r w:rsidR="00BE7117">
        <w:t xml:space="preserve">sources.  It should be kept in mind that one of these additional sources – from the U.S. Bureau of Economic Analysis </w:t>
      </w:r>
      <w:r w:rsidR="005C7F5D">
        <w:t>–</w:t>
      </w:r>
      <w:r w:rsidR="00BE7117">
        <w:t xml:space="preserve"> </w:t>
      </w:r>
      <w:r w:rsidR="005C7F5D">
        <w:t>is neither a survey nor based on original data, but rather classifies data collected by other agencies (in this case, primarily BLS and the Census Bureau)</w:t>
      </w:r>
      <w:r w:rsidR="00EC3A33">
        <w:t xml:space="preserve">.  However, the BEA perspective is </w:t>
      </w:r>
      <w:r w:rsidR="00780F5E">
        <w:t>valuable, in that it makes an adjustment for full-time-</w:t>
      </w:r>
      <w:r w:rsidR="00DA149C">
        <w:t xml:space="preserve">equivalent employees </w:t>
      </w:r>
      <w:r w:rsidR="00DA149C">
        <w:lastRenderedPageBreak/>
        <w:t xml:space="preserve">(something done by neither BLS nor the </w:t>
      </w:r>
      <w:r w:rsidR="00FB5338">
        <w:t xml:space="preserve">Census Bureau, extends much further back in time (to 1929) than the </w:t>
      </w:r>
      <w:r w:rsidR="00A87D0E">
        <w:t xml:space="preserve">BLS and Census Bureau series, and includes earnings as well as overall compensation (although it doesn’t measure compensation as thoroughly as does BLS).  </w:t>
      </w:r>
    </w:p>
    <w:p w14:paraId="272F877A" w14:textId="77777777" w:rsidR="003F4C59" w:rsidRDefault="003F4C59">
      <w:pPr>
        <w:rPr>
          <w:b/>
          <w:bCs/>
        </w:rPr>
      </w:pPr>
    </w:p>
    <w:p w14:paraId="59AFDB04" w14:textId="5E02A98E" w:rsidR="00ED4975" w:rsidRPr="005623E9" w:rsidRDefault="00574EA9">
      <w:r w:rsidRPr="003F4C59">
        <w:rPr>
          <w:b/>
          <w:bCs/>
          <w:color w:val="0070C0"/>
        </w:rPr>
        <w:t xml:space="preserve">There can be no single best </w:t>
      </w:r>
      <w:r w:rsidR="001A77BA" w:rsidRPr="003F4C59">
        <w:rPr>
          <w:b/>
          <w:bCs/>
          <w:color w:val="0070C0"/>
        </w:rPr>
        <w:t>earnings indicator.</w:t>
      </w:r>
      <w:r w:rsidR="001A77BA">
        <w:rPr>
          <w:b/>
          <w:bCs/>
        </w:rPr>
        <w:t xml:space="preserve">  </w:t>
      </w:r>
      <w:r w:rsidR="00C56327">
        <w:t>N</w:t>
      </w:r>
      <w:r w:rsidR="00ED4975">
        <w:t xml:space="preserve">o single </w:t>
      </w:r>
      <w:r w:rsidR="008405BD">
        <w:t xml:space="preserve">survey can supply the best evidence regarding </w:t>
      </w:r>
      <w:r w:rsidR="00645C06">
        <w:t xml:space="preserve">earnings.  The key </w:t>
      </w:r>
      <w:r w:rsidR="004613D7">
        <w:t xml:space="preserve">contextual </w:t>
      </w:r>
      <w:r w:rsidR="00645C06">
        <w:t xml:space="preserve">factors </w:t>
      </w:r>
      <w:r w:rsidR="004613D7">
        <w:t xml:space="preserve">that influence earnings are the time covered (e.g., </w:t>
      </w:r>
      <w:r w:rsidR="00797CB6">
        <w:t xml:space="preserve">hourly, weekly, or annual); </w:t>
      </w:r>
      <w:r w:rsidR="000A30E3">
        <w:t xml:space="preserve">the amount of time that individuals work during </w:t>
      </w:r>
      <w:r w:rsidR="00AF2372">
        <w:t xml:space="preserve">the specified period; </w:t>
      </w:r>
      <w:r w:rsidR="005C745D">
        <w:t>the breadth of the earnings definition (e.g., regular pay, overtime</w:t>
      </w:r>
      <w:r w:rsidR="0039183D">
        <w:t>/bonus</w:t>
      </w:r>
      <w:r w:rsidR="005C745D">
        <w:t xml:space="preserve"> pay</w:t>
      </w:r>
      <w:r w:rsidR="00C4540F">
        <w:t xml:space="preserve">, or the inclusion of benefits such as </w:t>
      </w:r>
      <w:r w:rsidR="005736DA">
        <w:t xml:space="preserve">health insurance, vacation, etc.); and the methodology used to adjust for inflation.  </w:t>
      </w:r>
      <w:r w:rsidR="00A555DD">
        <w:t xml:space="preserve">Compensation is the broadest measure of </w:t>
      </w:r>
      <w:r w:rsidR="00194015">
        <w:t xml:space="preserve">earnings, including both cash payments and all non-cash benefits.  </w:t>
      </w:r>
      <w:r w:rsidR="000E4CBF">
        <w:t xml:space="preserve">Most workers </w:t>
      </w:r>
      <w:r w:rsidR="0099661A">
        <w:t xml:space="preserve">whose pay is based upon an annual salary are not eligible for </w:t>
      </w:r>
      <w:r w:rsidR="00A2703D">
        <w:t xml:space="preserve">overtime pay, and many </w:t>
      </w:r>
      <w:r w:rsidR="00C847EC">
        <w:t xml:space="preserve">employers </w:t>
      </w:r>
      <w:r w:rsidR="00A2703D">
        <w:t>expect</w:t>
      </w:r>
      <w:r w:rsidR="00C847EC">
        <w:t xml:space="preserve"> them </w:t>
      </w:r>
      <w:r w:rsidR="00A2703D">
        <w:t xml:space="preserve">to work more than the conventional </w:t>
      </w:r>
      <w:r w:rsidR="00C847EC">
        <w:t xml:space="preserve">40 hour work-week:  </w:t>
      </w:r>
      <w:r w:rsidR="00F835C1">
        <w:t xml:space="preserve">consequently their hourly pay could vary considerably depending upon how accurately their work time is measured.  </w:t>
      </w:r>
      <w:r w:rsidR="000F0556">
        <w:t xml:space="preserve">It should also be kept in mind that </w:t>
      </w:r>
      <w:r w:rsidR="005623E9">
        <w:t xml:space="preserve">earnings and compensation reported here </w:t>
      </w:r>
      <w:r w:rsidR="00C044F7">
        <w:t>are</w:t>
      </w:r>
      <w:r w:rsidR="005623E9">
        <w:t xml:space="preserve"> </w:t>
      </w:r>
      <w:r w:rsidR="005623E9">
        <w:rPr>
          <w:i/>
          <w:iCs/>
        </w:rPr>
        <w:t>before</w:t>
      </w:r>
      <w:r w:rsidR="005623E9">
        <w:t xml:space="preserve"> taxes.</w:t>
      </w:r>
    </w:p>
    <w:p w14:paraId="0CD61E7B" w14:textId="77777777" w:rsidR="00F01F80" w:rsidRDefault="00F01F80"/>
    <w:p w14:paraId="1E758149" w14:textId="6650E4C8" w:rsidR="00F01F80" w:rsidRDefault="00D748A7">
      <w:r w:rsidRPr="003F4C59">
        <w:rPr>
          <w:b/>
          <w:bCs/>
          <w:color w:val="0070C0"/>
        </w:rPr>
        <w:t>Definitions of various types of workers.</w:t>
      </w:r>
      <w:r w:rsidR="00404EB0">
        <w:t xml:space="preserve">  </w:t>
      </w:r>
      <w:r w:rsidR="0007110A">
        <w:t xml:space="preserve">The term </w:t>
      </w:r>
      <w:r w:rsidR="007F3273">
        <w:t>“</w:t>
      </w:r>
      <w:r w:rsidR="0007110A">
        <w:t>workers</w:t>
      </w:r>
      <w:r w:rsidR="007F3273">
        <w:t>”</w:t>
      </w:r>
      <w:r w:rsidR="0007110A">
        <w:t xml:space="preserve"> </w:t>
      </w:r>
      <w:r w:rsidR="00D2026A">
        <w:t xml:space="preserve">now generally </w:t>
      </w:r>
      <w:r w:rsidR="0007110A">
        <w:t xml:space="preserve">refers to all individuals who obtain earned </w:t>
      </w:r>
      <w:r w:rsidR="00FA129F">
        <w:t xml:space="preserve">income.  </w:t>
      </w:r>
      <w:r w:rsidR="007F3273">
        <w:t xml:space="preserve">In 1948, 3 percent of workers were </w:t>
      </w:r>
      <w:r w:rsidR="007F3273" w:rsidRPr="00BE5AAC">
        <w:rPr>
          <w:i/>
          <w:iCs/>
        </w:rPr>
        <w:t>unpaid</w:t>
      </w:r>
      <w:r w:rsidR="007F3273">
        <w:t xml:space="preserve"> family workers, but </w:t>
      </w:r>
      <w:r w:rsidR="00943E29">
        <w:t xml:space="preserve">by 1994 such unpaid workers had </w:t>
      </w:r>
      <w:r w:rsidR="00856F38">
        <w:t xml:space="preserve">declined to an insignificant .1 percent of the workforce, </w:t>
      </w:r>
      <w:r w:rsidR="00D2026A">
        <w:t xml:space="preserve">a level </w:t>
      </w:r>
      <w:r w:rsidR="00856F38">
        <w:t xml:space="preserve">where it has </w:t>
      </w:r>
      <w:r w:rsidR="00D2026A">
        <w:t xml:space="preserve">subsequently </w:t>
      </w:r>
      <w:r w:rsidR="00856F38">
        <w:t>remaine</w:t>
      </w:r>
      <w:r w:rsidR="00D2026A">
        <w:t>d</w:t>
      </w:r>
      <w:r w:rsidR="00856F38">
        <w:t xml:space="preserve">.  </w:t>
      </w:r>
    </w:p>
    <w:p w14:paraId="31C3AE88" w14:textId="77777777" w:rsidR="00B37890" w:rsidRDefault="00B37890"/>
    <w:p w14:paraId="22A0B587" w14:textId="0AE4947D" w:rsidR="00A04227" w:rsidRDefault="00B37890">
      <w:r>
        <w:t xml:space="preserve">The remainder of the workforce is divided into employees (who obtain a wage from an employer) and the </w:t>
      </w:r>
      <w:r w:rsidR="009C0BF7">
        <w:t xml:space="preserve">self-employed.  Technically, </w:t>
      </w:r>
      <w:r w:rsidR="00D94A5F">
        <w:t xml:space="preserve">a self-employed individual who incorporates is an employee of his or her own </w:t>
      </w:r>
      <w:r w:rsidR="003A5E5D">
        <w:t xml:space="preserve">corporation, and surveys differ as to whether such incorporated self-employed are or aren’t included in </w:t>
      </w:r>
      <w:r w:rsidR="002D6EC3">
        <w:t>a</w:t>
      </w:r>
      <w:r w:rsidR="00272D88">
        <w:t>n employee</w:t>
      </w:r>
      <w:r w:rsidR="002D6EC3">
        <w:t xml:space="preserve"> survey.  </w:t>
      </w:r>
      <w:r w:rsidR="00913589">
        <w:t>Typically</w:t>
      </w:r>
      <w:r w:rsidR="005607BD">
        <w:t xml:space="preserve">, only the unincorporated self-employed are classified as self-employed.  </w:t>
      </w:r>
    </w:p>
    <w:p w14:paraId="6CF3B568" w14:textId="77777777" w:rsidR="00F645B4" w:rsidRDefault="00F645B4"/>
    <w:p w14:paraId="3120A7BF" w14:textId="420E9E21" w:rsidR="00F645B4" w:rsidRDefault="00F645B4">
      <w:r>
        <w:t xml:space="preserve">Trends in self-employment are important in reaching conclusions about </w:t>
      </w:r>
      <w:r w:rsidR="006654C8">
        <w:t xml:space="preserve">overall </w:t>
      </w:r>
      <w:r w:rsidR="005B5264">
        <w:t xml:space="preserve">earnings, for several reasons in addition to their falling share of the workforce.  </w:t>
      </w:r>
      <w:r w:rsidR="001A1C99">
        <w:t>First, s</w:t>
      </w:r>
      <w:r w:rsidR="005B5264">
        <w:t xml:space="preserve">elf-employment </w:t>
      </w:r>
      <w:r w:rsidR="001D28EA">
        <w:t xml:space="preserve">earnings are generally less precisely measured than employee </w:t>
      </w:r>
      <w:r w:rsidR="007559EC">
        <w:t>earnings</w:t>
      </w:r>
      <w:r w:rsidR="000B2D17">
        <w:t>.  Second</w:t>
      </w:r>
      <w:r w:rsidR="007559EC">
        <w:t xml:space="preserve">, the two groups </w:t>
      </w:r>
      <w:r w:rsidR="00B61378">
        <w:t xml:space="preserve">differ </w:t>
      </w:r>
      <w:r w:rsidR="007559EC">
        <w:t xml:space="preserve">radically in terms of non-cash </w:t>
      </w:r>
      <w:r w:rsidR="000B2D17">
        <w:t xml:space="preserve">benefits, which are essentially zero for the self-employed, but </w:t>
      </w:r>
      <w:r w:rsidR="006654C8">
        <w:t xml:space="preserve">from World War II to the present rose to nearly one-third of total compensation for employees. </w:t>
      </w:r>
    </w:p>
    <w:p w14:paraId="3CCC9560" w14:textId="77777777" w:rsidR="00A04227" w:rsidRDefault="00A04227"/>
    <w:p w14:paraId="3E806C87" w14:textId="7EB26BC8" w:rsidR="00B37890" w:rsidRDefault="00A30389">
      <w:r w:rsidRPr="00FC0B7C">
        <w:rPr>
          <w:b/>
          <w:bCs/>
          <w:color w:val="0070C0"/>
        </w:rPr>
        <w:t>Trends in self-employment</w:t>
      </w:r>
      <w:r>
        <w:rPr>
          <w:b/>
          <w:bCs/>
        </w:rPr>
        <w:t>.</w:t>
      </w:r>
      <w:r>
        <w:t xml:space="preserve">  </w:t>
      </w:r>
      <w:r w:rsidR="005607BD">
        <w:t xml:space="preserve">If both types of self-employed are included, their total share of the workforce </w:t>
      </w:r>
      <w:r w:rsidR="00E7207B">
        <w:t xml:space="preserve">has remained at about 10 percent since </w:t>
      </w:r>
      <w:r w:rsidR="00AB0370">
        <w:t>2013.  The unincorporated self-employed outnumber those who are incorporated</w:t>
      </w:r>
      <w:r w:rsidR="00FD2C81">
        <w:t xml:space="preserve">, but the stability in the overall percentage masks two </w:t>
      </w:r>
      <w:r w:rsidR="00C07208">
        <w:t>countervailing</w:t>
      </w:r>
      <w:r w:rsidR="00FD2C81">
        <w:t xml:space="preserve"> trends:  </w:t>
      </w:r>
      <w:r w:rsidR="00E70E77">
        <w:t>the proportion of the unincorporated self-employed has decline</w:t>
      </w:r>
      <w:r w:rsidR="00C773A2">
        <w:t>d</w:t>
      </w:r>
      <w:r w:rsidR="00E70E77">
        <w:t xml:space="preserve">, while the share of the incorporated self-employed has </w:t>
      </w:r>
      <w:r w:rsidR="00C773A2">
        <w:t xml:space="preserve">risen.  </w:t>
      </w:r>
      <w:r w:rsidR="000B2AC8">
        <w:t xml:space="preserve">BLS has only calculated the proportion of the incorporated self-employed </w:t>
      </w:r>
      <w:r w:rsidR="002D29F1">
        <w:t>in the workforce since 2000</w:t>
      </w:r>
      <w:r w:rsidR="00274BD5">
        <w:t xml:space="preserve">:  between then and 2023 their share has risen from 3.3 to 4.1 percent </w:t>
      </w:r>
      <w:r w:rsidR="00B75A1D">
        <w:t>of the total, where</w:t>
      </w:r>
      <w:r w:rsidR="009C57E4">
        <w:t>as</w:t>
      </w:r>
      <w:r w:rsidR="00B75A1D">
        <w:t xml:space="preserve"> the share of the unincorporated self-employed has fallen from 7</w:t>
      </w:r>
      <w:r w:rsidR="00A57060">
        <w:t>.5</w:t>
      </w:r>
      <w:r w:rsidR="00B75A1D">
        <w:t xml:space="preserve"> to </w:t>
      </w:r>
      <w:r w:rsidR="00A57060">
        <w:t>6.</w:t>
      </w:r>
      <w:r w:rsidR="00FF3A85">
        <w:t>1</w:t>
      </w:r>
      <w:r w:rsidR="00B75A1D">
        <w:t xml:space="preserve"> percent over the same interval.  </w:t>
      </w:r>
      <w:r w:rsidR="002C02C6">
        <w:t xml:space="preserve">Over </w:t>
      </w:r>
      <w:r w:rsidR="00035335">
        <w:t xml:space="preserve">the entire post-World War II period, unincorporated self-employment </w:t>
      </w:r>
      <w:r w:rsidR="008739C2">
        <w:t xml:space="preserve">have </w:t>
      </w:r>
      <w:r w:rsidR="00035335">
        <w:t xml:space="preserve">declined from </w:t>
      </w:r>
      <w:r w:rsidR="00A52A87">
        <w:t xml:space="preserve">18.5 (in 1948) to 6.1 percent of the workforce.  </w:t>
      </w:r>
      <w:r w:rsidR="008C1DE0">
        <w:t xml:space="preserve">During the initial period of this decline, </w:t>
      </w:r>
      <w:r w:rsidR="007F1BCD">
        <w:t>the falling share of employment in the agricultur</w:t>
      </w:r>
      <w:r w:rsidR="00893957">
        <w:t xml:space="preserve">e </w:t>
      </w:r>
      <w:r w:rsidR="007F1BCD">
        <w:t xml:space="preserve">was a major factor in </w:t>
      </w:r>
      <w:r w:rsidR="00C35221">
        <w:t xml:space="preserve">falling self-employment rates, with agricultural employment dropping from </w:t>
      </w:r>
      <w:r w:rsidR="000072AD">
        <w:t>13.1 to a mere 1.4 percent of total employment between 1948 and 2023</w:t>
      </w:r>
      <w:r w:rsidR="00E24D42">
        <w:t xml:space="preserve"> (using industry data)</w:t>
      </w:r>
      <w:r w:rsidR="000072AD">
        <w:t xml:space="preserve">. </w:t>
      </w:r>
    </w:p>
    <w:p w14:paraId="4364E76F" w14:textId="77777777" w:rsidR="00987BD9" w:rsidRDefault="00987BD9"/>
    <w:p w14:paraId="6F4EB20C" w14:textId="2A7C9EBB" w:rsidR="00987BD9" w:rsidRPr="00C869B6" w:rsidRDefault="00936B8E">
      <w:pPr>
        <w:rPr>
          <w:b/>
          <w:bCs/>
          <w:color w:val="00B050"/>
        </w:rPr>
      </w:pPr>
      <w:r w:rsidRPr="00C869B6">
        <w:rPr>
          <w:b/>
          <w:bCs/>
          <w:color w:val="00B050"/>
        </w:rPr>
        <w:t xml:space="preserve">Compensation:  </w:t>
      </w:r>
      <w:r w:rsidR="00C869B6" w:rsidRPr="00C869B6">
        <w:rPr>
          <w:b/>
          <w:bCs/>
          <w:color w:val="00B050"/>
        </w:rPr>
        <w:t xml:space="preserve">the Broadest Coverage of Earned Income </w:t>
      </w:r>
    </w:p>
    <w:p w14:paraId="5BE329D1" w14:textId="77777777" w:rsidR="00936B8E" w:rsidRDefault="00936B8E"/>
    <w:p w14:paraId="4402EBAB" w14:textId="224D3ADC" w:rsidR="004441C0" w:rsidRDefault="00783522">
      <w:r>
        <w:t xml:space="preserve">For </w:t>
      </w:r>
      <w:r w:rsidR="00114AA6">
        <w:t xml:space="preserve">compensation, we have good data from both BEA and </w:t>
      </w:r>
      <w:r w:rsidR="00651D65">
        <w:t xml:space="preserve">BLS.  Both of them supply information on both earnings and overall </w:t>
      </w:r>
      <w:r w:rsidR="005F61D1">
        <w:t>compensation.  During the early 20</w:t>
      </w:r>
      <w:r w:rsidR="005F61D1" w:rsidRPr="005F61D1">
        <w:rPr>
          <w:vertAlign w:val="superscript"/>
        </w:rPr>
        <w:t>th</w:t>
      </w:r>
      <w:r w:rsidR="005F61D1">
        <w:t xml:space="preserve"> </w:t>
      </w:r>
      <w:r w:rsidR="00BF745B">
        <w:t xml:space="preserve">century, Federal and state governments began to require certain mandatory benefits, initially Workers Compensation at the beginning of the century, </w:t>
      </w:r>
      <w:r w:rsidR="004A534A">
        <w:t>and later extended to Unemployment Insurance and Social Security retirement benefits in the 1930s (although the latter didn’t begin to be paid until 1940</w:t>
      </w:r>
      <w:r w:rsidR="00121CA8">
        <w:t>). The emerg</w:t>
      </w:r>
      <w:r w:rsidR="00516B0C">
        <w:t xml:space="preserve">ing impact </w:t>
      </w:r>
      <w:r w:rsidR="00121CA8">
        <w:t xml:space="preserve">of </w:t>
      </w:r>
      <w:r w:rsidR="00516B0C">
        <w:t xml:space="preserve">these developments can be seen in the first chart below.  </w:t>
      </w:r>
      <w:r w:rsidR="004F1A23" w:rsidRPr="000403CE">
        <w:rPr>
          <w:b/>
          <w:bCs/>
          <w:color w:val="7030A0"/>
        </w:rPr>
        <w:t>Compensation began to growth even faster than earnings beginning in the 1940s</w:t>
      </w:r>
      <w:r w:rsidR="004F1A23">
        <w:t xml:space="preserve">, as </w:t>
      </w:r>
      <w:r w:rsidR="00A44A67">
        <w:t xml:space="preserve">employers began to offer more generous benefits to retain employees during World War II, to circumvent </w:t>
      </w:r>
      <w:r w:rsidR="00E92E70">
        <w:t xml:space="preserve">Federal wage controls.  </w:t>
      </w:r>
    </w:p>
    <w:p w14:paraId="437DCC7A" w14:textId="77777777" w:rsidR="00870EFD" w:rsidRDefault="00870EFD"/>
    <w:p w14:paraId="265F361A" w14:textId="33A83281" w:rsidR="00870EFD" w:rsidRDefault="007554AB">
      <w:r>
        <w:t xml:space="preserve">BEA data are best at understanding the beginning of the movement toward increasing benefit compensation, especially because BLS didn’t begin to broadly </w:t>
      </w:r>
      <w:r w:rsidR="00FF2664">
        <w:t>and consistently track benefit compensation until 1959 (for manufacturing production employees only)</w:t>
      </w:r>
      <w:r w:rsidR="000403CE">
        <w:t>,</w:t>
      </w:r>
      <w:r w:rsidR="00FF2664">
        <w:t xml:space="preserve"> and then in 1966 for all private sector </w:t>
      </w:r>
      <w:r w:rsidR="00324FD8">
        <w:t xml:space="preserve">employees.  BLS ended that </w:t>
      </w:r>
      <w:r w:rsidR="00324FD8">
        <w:lastRenderedPageBreak/>
        <w:t xml:space="preserve">series in 1977, and didn’t revive it </w:t>
      </w:r>
      <w:r w:rsidR="003A42B6">
        <w:t>until 1986 (using different but relatively comparable concepts</w:t>
      </w:r>
      <w:r w:rsidR="00DA4913">
        <w:t xml:space="preserve">), adding state and local government employees in 1991.  </w:t>
      </w:r>
    </w:p>
    <w:p w14:paraId="35603F22" w14:textId="77777777" w:rsidR="00AA2ED7" w:rsidRDefault="00AA2ED7"/>
    <w:p w14:paraId="1012C793" w14:textId="4C383629" w:rsidR="00AA2ED7" w:rsidRDefault="00F66EDE">
      <w:r>
        <w:t>The BEA series differs from other sources in that it shows an inflation-adjusted decline only in the 1970s</w:t>
      </w:r>
      <w:r w:rsidR="00216C29">
        <w:t xml:space="preserve"> (although the CPS annual earnings series </w:t>
      </w:r>
      <w:r w:rsidR="00957F92">
        <w:t xml:space="preserve">discussed below </w:t>
      </w:r>
      <w:r w:rsidR="00216C29">
        <w:t xml:space="preserve">shows </w:t>
      </w:r>
      <w:r w:rsidR="002E18DB">
        <w:t>a</w:t>
      </w:r>
      <w:r w:rsidR="00216C29">
        <w:t xml:space="preserve"> </w:t>
      </w:r>
      <w:r w:rsidR="002E18DB">
        <w:t>similar</w:t>
      </w:r>
      <w:r w:rsidR="00216C29">
        <w:t xml:space="preserve"> pattern)</w:t>
      </w:r>
      <w:r w:rsidR="00FE68FE">
        <w:t xml:space="preserve">, whereas </w:t>
      </w:r>
      <w:r w:rsidR="00216C29">
        <w:t xml:space="preserve">some </w:t>
      </w:r>
      <w:r w:rsidR="00FE68FE">
        <w:t xml:space="preserve">other sources show that decline or stagnation extended into the 1980s and sometimes the 1990s.  </w:t>
      </w:r>
      <w:r w:rsidR="00C73FFF">
        <w:t xml:space="preserve">Another important difference is that </w:t>
      </w:r>
      <w:r w:rsidR="004C43C1">
        <w:t>BEA data indicate that the growth of benefits as a share of total compensation ceased in the early</w:t>
      </w:r>
      <w:r w:rsidR="00957F92">
        <w:t xml:space="preserve"> </w:t>
      </w:r>
      <w:r w:rsidR="00EC31A4">
        <w:t xml:space="preserve">1990s, and has remained relatively stable since then.  However, more accurate BLS data on this subject </w:t>
      </w:r>
      <w:r w:rsidR="00F57DBB">
        <w:t xml:space="preserve">indicate that the growth of benefits continued until </w:t>
      </w:r>
      <w:r w:rsidR="00256CC1">
        <w:t>2018 for private sector employees, dropping by about a percentage point through 2023</w:t>
      </w:r>
      <w:r w:rsidR="007854ED">
        <w:t xml:space="preserve"> (benefits continued to growth for state and local employees, until stabilizing from 2021 </w:t>
      </w:r>
      <w:r w:rsidR="00E06F0A">
        <w:t xml:space="preserve">forward).  </w:t>
      </w:r>
    </w:p>
    <w:p w14:paraId="105B6D82" w14:textId="77777777" w:rsidR="004441C0" w:rsidRDefault="004441C0"/>
    <w:p w14:paraId="68FEFE44" w14:textId="4874E53A" w:rsidR="004441C0" w:rsidRDefault="00366DCF">
      <w:r>
        <w:rPr>
          <w:noProof/>
        </w:rPr>
        <w:drawing>
          <wp:inline distT="0" distB="0" distL="0" distR="0" wp14:anchorId="7A4524AC" wp14:editId="00B54D44">
            <wp:extent cx="7238462" cy="4369128"/>
            <wp:effectExtent l="0" t="0" r="635" b="0"/>
            <wp:docPr id="238830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68572" cy="4387302"/>
                    </a:xfrm>
                    <a:prstGeom prst="rect">
                      <a:avLst/>
                    </a:prstGeom>
                    <a:noFill/>
                  </pic:spPr>
                </pic:pic>
              </a:graphicData>
            </a:graphic>
          </wp:inline>
        </w:drawing>
      </w:r>
    </w:p>
    <w:p w14:paraId="12FF676E" w14:textId="361DFBC8" w:rsidR="004441C0" w:rsidRDefault="00366DCF">
      <w:r>
        <w:t xml:space="preserve">Source:  U.S. Bureau of Economic Analysis </w:t>
      </w:r>
    </w:p>
    <w:p w14:paraId="1AC91D6F" w14:textId="77777777" w:rsidR="004441C0" w:rsidRDefault="004441C0"/>
    <w:p w14:paraId="6C4FD12A" w14:textId="77777777" w:rsidR="00A1127E" w:rsidRDefault="00A1127E">
      <w:r>
        <w:br w:type="page"/>
      </w:r>
    </w:p>
    <w:p w14:paraId="1F34B183" w14:textId="5DF3C816" w:rsidR="002E5B9B" w:rsidRDefault="004A6D34">
      <w:r>
        <w:lastRenderedPageBreak/>
        <w:t>In 19</w:t>
      </w:r>
      <w:r w:rsidR="006B2752">
        <w:t>6</w:t>
      </w:r>
      <w:r>
        <w:t>6, BLS inaugurated a</w:t>
      </w:r>
      <w:r w:rsidR="00466F3A">
        <w:t xml:space="preserve"> survey designed to cover virtually all types of earned </w:t>
      </w:r>
      <w:r w:rsidR="007E2D20">
        <w:t>income:</w:t>
      </w:r>
      <w:r w:rsidR="00AC1D0E">
        <w:t xml:space="preserve"> now referred to as </w:t>
      </w:r>
      <w:r w:rsidR="007E2D20">
        <w:t xml:space="preserve">  </w:t>
      </w:r>
      <w:r w:rsidR="007E2D20" w:rsidRPr="000549FF">
        <w:rPr>
          <w:i/>
          <w:iCs/>
        </w:rPr>
        <w:t>Employer Costs for Employee Compensation</w:t>
      </w:r>
      <w:r w:rsidR="00ED5CA9">
        <w:t xml:space="preserve"> (</w:t>
      </w:r>
      <w:r w:rsidR="008E098D">
        <w:t>ECEC)</w:t>
      </w:r>
      <w:r w:rsidR="00CA2CD6">
        <w:t xml:space="preserve">.  </w:t>
      </w:r>
      <w:r w:rsidR="00FA3AEF">
        <w:t>Th</w:t>
      </w:r>
      <w:r w:rsidR="004D0A49">
        <w:t>e most numerous categories of workers excluded from this survey are the self-employed</w:t>
      </w:r>
      <w:r w:rsidR="00A67C28">
        <w:t xml:space="preserve"> and Federal employees</w:t>
      </w:r>
      <w:r w:rsidR="006253CE">
        <w:t xml:space="preserve">.  By 2023 these two groups </w:t>
      </w:r>
      <w:r w:rsidR="00400D8A">
        <w:t xml:space="preserve">constituted less than 10 percent of all workers, </w:t>
      </w:r>
      <w:r w:rsidR="0096775A">
        <w:t xml:space="preserve">and from the mid-1980s to 2023 their share fell from roughly </w:t>
      </w:r>
      <w:r w:rsidR="00A274E3">
        <w:t>11.5 to 8.5 percent of all workers</w:t>
      </w:r>
      <w:r w:rsidR="00321BB5">
        <w:t xml:space="preserve">.  </w:t>
      </w:r>
      <w:r w:rsidR="002E5B9B">
        <w:t xml:space="preserve">Federal employees constitute the smallest share:  only about 2.5 percent of the total workforce, down from </w:t>
      </w:r>
      <w:r w:rsidR="0028285F">
        <w:t xml:space="preserve">about 3 percent </w:t>
      </w:r>
      <w:r w:rsidR="00ED5CA9">
        <w:t xml:space="preserve">in the 1980s.  </w:t>
      </w:r>
    </w:p>
    <w:p w14:paraId="383EBA6F" w14:textId="77777777" w:rsidR="002E5B9B" w:rsidRDefault="002E5B9B"/>
    <w:p w14:paraId="2E21A4A4" w14:textId="77777777" w:rsidR="009836C1" w:rsidRDefault="00C4225E">
      <w:r>
        <w:t xml:space="preserve">Two important points </w:t>
      </w:r>
      <w:r w:rsidR="00015CEC">
        <w:t xml:space="preserve">in ascertaining the impact of this </w:t>
      </w:r>
      <w:r w:rsidR="000445E3">
        <w:t>ex</w:t>
      </w:r>
      <w:r w:rsidR="007E25AA">
        <w:t xml:space="preserve">clusion are that both </w:t>
      </w:r>
      <w:r w:rsidR="00ED5CA9">
        <w:t xml:space="preserve">the self-employed and Federal workers </w:t>
      </w:r>
      <w:r w:rsidR="007E25AA">
        <w:t xml:space="preserve">often average higher pay </w:t>
      </w:r>
      <w:r w:rsidR="000445E3">
        <w:t>than the workers included</w:t>
      </w:r>
      <w:r w:rsidR="008E098D">
        <w:t xml:space="preserve"> in the ECEC</w:t>
      </w:r>
      <w:r w:rsidR="000445E3">
        <w:t xml:space="preserve">, </w:t>
      </w:r>
      <w:r w:rsidR="00BF3A41">
        <w:t xml:space="preserve">but on the other hand the self-employed </w:t>
      </w:r>
      <w:r w:rsidR="000A2CF2">
        <w:t xml:space="preserve">have virtually no non-cash </w:t>
      </w:r>
      <w:r w:rsidR="00F85FC2">
        <w:t xml:space="preserve">benefits (the next survey summarized below includes all workers, with no exclusions). </w:t>
      </w:r>
    </w:p>
    <w:p w14:paraId="1D90F625" w14:textId="77777777" w:rsidR="0038277F" w:rsidRDefault="0038277F"/>
    <w:p w14:paraId="6CDB3063" w14:textId="45EE5A34" w:rsidR="0038277F" w:rsidRDefault="0038277F">
      <w:r>
        <w:t xml:space="preserve">As noted </w:t>
      </w:r>
      <w:r w:rsidR="000F4991">
        <w:t xml:space="preserve">above, </w:t>
      </w:r>
      <w:r w:rsidR="000F4991" w:rsidRPr="009C6037">
        <w:rPr>
          <w:b/>
          <w:bCs/>
          <w:color w:val="7030A0"/>
        </w:rPr>
        <w:t xml:space="preserve">the growth of benefits as a share of total compensation began to pick up steam during World War II, and by </w:t>
      </w:r>
      <w:r w:rsidR="00987D6A" w:rsidRPr="009C6037">
        <w:rPr>
          <w:b/>
          <w:bCs/>
          <w:color w:val="7030A0"/>
        </w:rPr>
        <w:t xml:space="preserve">1959 </w:t>
      </w:r>
      <w:r w:rsidR="00987D6A">
        <w:t>– the start of the BLS series for manufacturing production employees (</w:t>
      </w:r>
      <w:r w:rsidR="00E0057C">
        <w:t xml:space="preserve">which excludes supervisors including forepersons) – </w:t>
      </w:r>
      <w:r w:rsidR="00E0057C" w:rsidRPr="009C6037">
        <w:rPr>
          <w:b/>
          <w:bCs/>
          <w:color w:val="7030A0"/>
        </w:rPr>
        <w:t xml:space="preserve">already </w:t>
      </w:r>
      <w:r w:rsidR="00EC53AA" w:rsidRPr="009C6037">
        <w:rPr>
          <w:b/>
          <w:bCs/>
          <w:color w:val="7030A0"/>
        </w:rPr>
        <w:t>constituted 14.6 percent of total compensation.</w:t>
      </w:r>
      <w:r w:rsidR="00EC53AA">
        <w:t xml:space="preserve">  </w:t>
      </w:r>
      <w:r w:rsidR="000D1CE0">
        <w:t xml:space="preserve">By 1966, when the BLS series for all private sector employees began, benefits accounted for 17.0 percent of compensation </w:t>
      </w:r>
      <w:r w:rsidR="00A429F8">
        <w:t>(the proportion was slightly higher for manufacturing production workers through 1977, likely because such works were more likely to be unionized).</w:t>
      </w:r>
      <w:r w:rsidR="00EA60AA">
        <w:rPr>
          <w:rStyle w:val="FootnoteReference"/>
        </w:rPr>
        <w:footnoteReference w:id="3"/>
      </w:r>
      <w:r w:rsidR="00A429F8">
        <w:t xml:space="preserve">  </w:t>
      </w:r>
    </w:p>
    <w:p w14:paraId="6BB56D57" w14:textId="77777777" w:rsidR="009836C1" w:rsidRDefault="009836C1"/>
    <w:p w14:paraId="43B9090F" w14:textId="55695BAA" w:rsidR="00C346DB" w:rsidRDefault="00C93183">
      <w:r w:rsidRPr="00E23E79">
        <w:rPr>
          <w:b/>
          <w:bCs/>
          <w:color w:val="7030A0"/>
        </w:rPr>
        <w:t xml:space="preserve">Non-cash benefits </w:t>
      </w:r>
      <w:r w:rsidR="00EA60AA">
        <w:rPr>
          <w:b/>
          <w:bCs/>
          <w:color w:val="7030A0"/>
        </w:rPr>
        <w:t xml:space="preserve">now </w:t>
      </w:r>
      <w:r w:rsidRPr="00E23E79">
        <w:rPr>
          <w:b/>
          <w:bCs/>
          <w:color w:val="7030A0"/>
        </w:rPr>
        <w:t xml:space="preserve">constitute nearly one-third of total compensation for </w:t>
      </w:r>
      <w:r w:rsidR="00E21BB7" w:rsidRPr="00E23E79">
        <w:rPr>
          <w:b/>
          <w:bCs/>
          <w:color w:val="7030A0"/>
        </w:rPr>
        <w:t>all the employees included in the ECEC.</w:t>
      </w:r>
      <w:r w:rsidR="00E21BB7">
        <w:rPr>
          <w:b/>
          <w:bCs/>
        </w:rPr>
        <w:t xml:space="preserve">  </w:t>
      </w:r>
      <w:r w:rsidR="00911388">
        <w:t xml:space="preserve">This </w:t>
      </w:r>
      <w:r w:rsidR="00350B65">
        <w:t xml:space="preserve">percentage has varied since </w:t>
      </w:r>
      <w:r w:rsidR="00A3561F">
        <w:t xml:space="preserve">such data were </w:t>
      </w:r>
      <w:r w:rsidR="00350B65">
        <w:t xml:space="preserve">first issued by BLS </w:t>
      </w:r>
      <w:r w:rsidR="003F505B">
        <w:t xml:space="preserve">in 1992, from 27.4 to 31.8 percent of total compensation, </w:t>
      </w:r>
      <w:r w:rsidR="008E4CA9">
        <w:t xml:space="preserve">falling until </w:t>
      </w:r>
      <w:r w:rsidR="00563D9D">
        <w:t xml:space="preserve">the turn of the millennium, then </w:t>
      </w:r>
      <w:r w:rsidR="00093BE6">
        <w:t xml:space="preserve">rising through 2018 before </w:t>
      </w:r>
      <w:r w:rsidR="009231C8">
        <w:t xml:space="preserve">then declining to 31.0 percent in 2023.  </w:t>
      </w:r>
    </w:p>
    <w:p w14:paraId="2C7C0B74" w14:textId="77777777" w:rsidR="00C346DB" w:rsidRDefault="00C346DB"/>
    <w:p w14:paraId="4A5BD7D3" w14:textId="522AD1AC" w:rsidR="00220DF0" w:rsidRDefault="00C346DB">
      <w:r w:rsidRPr="00E23E79">
        <w:rPr>
          <w:b/>
          <w:bCs/>
          <w:color w:val="0070C0"/>
        </w:rPr>
        <w:t>Trends</w:t>
      </w:r>
      <w:r>
        <w:rPr>
          <w:b/>
          <w:bCs/>
        </w:rPr>
        <w:t>.</w:t>
      </w:r>
      <w:r>
        <w:t xml:space="preserve">  </w:t>
      </w:r>
      <w:r w:rsidR="005C0ECF">
        <w:t xml:space="preserve">Because the longest time series is available for </w:t>
      </w:r>
      <w:r w:rsidR="00885AA7">
        <w:t xml:space="preserve">private sector employees, the chart below separately tracks private sector from state and local </w:t>
      </w:r>
      <w:r w:rsidR="00667F58">
        <w:t xml:space="preserve">employees.  </w:t>
      </w:r>
      <w:r w:rsidR="00120BF6">
        <w:t xml:space="preserve">In 2023, private sector employees constituted </w:t>
      </w:r>
      <w:r w:rsidR="00CE135A">
        <w:t xml:space="preserve">80.5 percent of all workers, and state and local employees constituted </w:t>
      </w:r>
      <w:r w:rsidR="0062038A">
        <w:t xml:space="preserve">only </w:t>
      </w:r>
      <w:r w:rsidR="00D52078">
        <w:t xml:space="preserve">about 10.5 </w:t>
      </w:r>
      <w:r w:rsidR="00AB2903">
        <w:t xml:space="preserve">percent, which is why the average of the two groups is </w:t>
      </w:r>
      <w:r w:rsidR="00FA7584">
        <w:t xml:space="preserve">more reflective of the private sector averages.  </w:t>
      </w:r>
      <w:r w:rsidR="0062038A">
        <w:t xml:space="preserve">[In the BLS </w:t>
      </w:r>
      <w:r w:rsidR="00D659C0">
        <w:t>ECEC news releases, the combined average is referred to as the “civilian” category.</w:t>
      </w:r>
      <w:r w:rsidR="001929AB">
        <w:t xml:space="preserve"> See </w:t>
      </w:r>
      <w:hyperlink r:id="rId7" w:anchor="current" w:history="1">
        <w:r w:rsidR="008D12B8" w:rsidRPr="006F3AAE">
          <w:rPr>
            <w:rStyle w:val="Hyperlink"/>
          </w:rPr>
          <w:t>www.bls.gov/bls/news-release/ecec.htm#current</w:t>
        </w:r>
      </w:hyperlink>
      <w:r w:rsidR="008D12B8">
        <w:t xml:space="preserve">] </w:t>
      </w:r>
    </w:p>
    <w:p w14:paraId="2E66A981" w14:textId="77777777" w:rsidR="00220DF0" w:rsidRDefault="00220DF0"/>
    <w:p w14:paraId="06EEDC32" w14:textId="4259E5B0" w:rsidR="00667F58" w:rsidRDefault="007E48F9">
      <w:r>
        <w:t xml:space="preserve">These trends are sometimes erratic for state and local </w:t>
      </w:r>
      <w:r w:rsidR="00820740">
        <w:t>employees, although the</w:t>
      </w:r>
      <w:r w:rsidR="0072253E">
        <w:t>ir</w:t>
      </w:r>
      <w:r w:rsidR="00820740">
        <w:t xml:space="preserve"> overall pattern </w:t>
      </w:r>
      <w:r w:rsidR="00290C98">
        <w:t>tends to mimic</w:t>
      </w:r>
      <w:r w:rsidR="0072253E">
        <w:t xml:space="preserve"> </w:t>
      </w:r>
      <w:r w:rsidR="0047594F">
        <w:t xml:space="preserve">that </w:t>
      </w:r>
      <w:r w:rsidR="00290C98">
        <w:t xml:space="preserve">for </w:t>
      </w:r>
      <w:r w:rsidR="0072253E">
        <w:t xml:space="preserve">private sector employees.  </w:t>
      </w:r>
      <w:r w:rsidR="0021221D" w:rsidRPr="00E13409">
        <w:rPr>
          <w:b/>
          <w:bCs/>
          <w:color w:val="7030A0"/>
        </w:rPr>
        <w:t xml:space="preserve">Since the late 1990s, compensation for both groups has </w:t>
      </w:r>
      <w:r w:rsidR="00290C98">
        <w:rPr>
          <w:b/>
          <w:bCs/>
          <w:color w:val="7030A0"/>
        </w:rPr>
        <w:t xml:space="preserve">generally </w:t>
      </w:r>
      <w:r w:rsidR="0021221D" w:rsidRPr="00E13409">
        <w:rPr>
          <w:b/>
          <w:bCs/>
          <w:color w:val="7030A0"/>
        </w:rPr>
        <w:t>rise</w:t>
      </w:r>
      <w:r w:rsidR="00290C98">
        <w:rPr>
          <w:b/>
          <w:bCs/>
          <w:color w:val="7030A0"/>
        </w:rPr>
        <w:t>n</w:t>
      </w:r>
      <w:r w:rsidR="0021221D" w:rsidRPr="00E13409">
        <w:rPr>
          <w:b/>
          <w:bCs/>
          <w:color w:val="7030A0"/>
        </w:rPr>
        <w:t xml:space="preserve">.  </w:t>
      </w:r>
      <w:r w:rsidR="00B972EE" w:rsidRPr="00E13409">
        <w:rPr>
          <w:b/>
          <w:bCs/>
          <w:color w:val="7030A0"/>
        </w:rPr>
        <w:t xml:space="preserve">As shown, compensation tends to fall during </w:t>
      </w:r>
      <w:r w:rsidR="00AD4790" w:rsidRPr="00E13409">
        <w:rPr>
          <w:b/>
          <w:bCs/>
          <w:color w:val="7030A0"/>
        </w:rPr>
        <w:t xml:space="preserve">recessions, and the pandemic recession followed by extremely high inflation </w:t>
      </w:r>
      <w:r w:rsidR="00B464D3" w:rsidRPr="00E13409">
        <w:rPr>
          <w:b/>
          <w:bCs/>
          <w:color w:val="7030A0"/>
        </w:rPr>
        <w:t xml:space="preserve">both combined to reduce compensation in recent years.  </w:t>
      </w:r>
      <w:r w:rsidR="00196C49" w:rsidRPr="00E13409">
        <w:rPr>
          <w:b/>
          <w:bCs/>
          <w:color w:val="7030A0"/>
        </w:rPr>
        <w:t xml:space="preserve">State and local employee </w:t>
      </w:r>
      <w:r w:rsidR="000B59D2" w:rsidRPr="00E13409">
        <w:rPr>
          <w:b/>
          <w:bCs/>
          <w:color w:val="7030A0"/>
        </w:rPr>
        <w:t>compensation particularly declined, but private sector compensation began to rise again in 2023</w:t>
      </w:r>
      <w:r w:rsidR="004201E3">
        <w:rPr>
          <w:b/>
          <w:bCs/>
          <w:color w:val="7030A0"/>
        </w:rPr>
        <w:t xml:space="preserve">, and state and local </w:t>
      </w:r>
      <w:r w:rsidR="000469F6">
        <w:rPr>
          <w:b/>
          <w:bCs/>
          <w:color w:val="7030A0"/>
        </w:rPr>
        <w:t>compensation in 2024 – both rising fairly steeply</w:t>
      </w:r>
      <w:r w:rsidR="000B59D2" w:rsidRPr="00E13409">
        <w:rPr>
          <w:b/>
          <w:bCs/>
          <w:color w:val="7030A0"/>
        </w:rPr>
        <w:t>.</w:t>
      </w:r>
      <w:r w:rsidR="000B59D2">
        <w:t xml:space="preserve">  </w:t>
      </w:r>
    </w:p>
    <w:p w14:paraId="5EE551A1" w14:textId="77777777" w:rsidR="00B02A59" w:rsidRDefault="00B02A59"/>
    <w:p w14:paraId="3355697D" w14:textId="067EED66" w:rsidR="00B02A59" w:rsidRDefault="00B248D4">
      <w:r>
        <w:t xml:space="preserve">Part of the </w:t>
      </w:r>
      <w:r w:rsidR="00C248F3">
        <w:t xml:space="preserve">superior compensation of state and local employees compared to private sector is due to their more generous </w:t>
      </w:r>
      <w:r w:rsidR="00BF2A68">
        <w:t xml:space="preserve">benefits (discussed below), and partly because government employees </w:t>
      </w:r>
      <w:r w:rsidR="00F95B7D">
        <w:t xml:space="preserve">are </w:t>
      </w:r>
      <w:r w:rsidR="00F95B7D" w:rsidRPr="00F95B7D">
        <w:t xml:space="preserve">more likely to hold professional jobs, and </w:t>
      </w:r>
      <w:r w:rsidR="00F95B7D">
        <w:t xml:space="preserve">have higher educational attainments.  </w:t>
      </w:r>
    </w:p>
    <w:p w14:paraId="5C0BCD07" w14:textId="77777777" w:rsidR="00667F58" w:rsidRDefault="00667F58"/>
    <w:p w14:paraId="7E14D462" w14:textId="466BEE85" w:rsidR="00936B8E" w:rsidRPr="00911388" w:rsidRDefault="007144E7">
      <w:r>
        <w:rPr>
          <w:noProof/>
        </w:rPr>
        <w:lastRenderedPageBreak/>
        <w:drawing>
          <wp:inline distT="0" distB="0" distL="0" distR="0" wp14:anchorId="35AA2EDF" wp14:editId="5D37C904">
            <wp:extent cx="6748780" cy="7297420"/>
            <wp:effectExtent l="0" t="0" r="0" b="0"/>
            <wp:docPr id="1374611851" name="Picture 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611851" name="Picture 2" descr="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48780" cy="7297420"/>
                    </a:xfrm>
                    <a:prstGeom prst="rect">
                      <a:avLst/>
                    </a:prstGeom>
                    <a:noFill/>
                  </pic:spPr>
                </pic:pic>
              </a:graphicData>
            </a:graphic>
          </wp:inline>
        </w:drawing>
      </w:r>
      <w:r w:rsidR="00350B65">
        <w:t xml:space="preserve"> </w:t>
      </w:r>
    </w:p>
    <w:p w14:paraId="71389964" w14:textId="7812781B" w:rsidR="00F01F80" w:rsidRDefault="00896B77">
      <w:r>
        <w:t xml:space="preserve">Source:  BLS </w:t>
      </w:r>
      <w:r w:rsidR="00A2689E" w:rsidRPr="00A2689E">
        <w:rPr>
          <w:i/>
          <w:iCs/>
        </w:rPr>
        <w:t>Employer Costs for Employee Compensation</w:t>
      </w:r>
      <w:r w:rsidR="00A2689E">
        <w:t xml:space="preserve"> survey </w:t>
      </w:r>
    </w:p>
    <w:p w14:paraId="6F63F3CF" w14:textId="77777777" w:rsidR="00F01F80" w:rsidRDefault="00F01F80"/>
    <w:p w14:paraId="4C4ECFE4" w14:textId="77777777" w:rsidR="00AE6116" w:rsidRDefault="00AE6116">
      <w:r>
        <w:br w:type="page"/>
      </w:r>
    </w:p>
    <w:p w14:paraId="6B173705" w14:textId="1EC6D10E" w:rsidR="00896B77" w:rsidRDefault="000C4C20">
      <w:r>
        <w:lastRenderedPageBreak/>
        <w:t xml:space="preserve">The next chart </w:t>
      </w:r>
      <w:r w:rsidR="00A30F75">
        <w:t xml:space="preserve">shows the changing </w:t>
      </w:r>
      <w:r w:rsidR="00DE4ABD">
        <w:t xml:space="preserve">proportion of benefits over time for both groups of employees </w:t>
      </w:r>
      <w:r w:rsidR="009D6BC8">
        <w:t>included in the survey, both for total benefits and for health insurance.</w:t>
      </w:r>
      <w:r w:rsidR="00A04F27">
        <w:t xml:space="preserve">  </w:t>
      </w:r>
      <w:r w:rsidR="00061DC9" w:rsidRPr="00510673">
        <w:rPr>
          <w:b/>
          <w:bCs/>
          <w:color w:val="7030A0"/>
        </w:rPr>
        <w:t xml:space="preserve">The benefits provided to state and local employees are more generous than those given to private sector employees, </w:t>
      </w:r>
      <w:r w:rsidR="00F43602" w:rsidRPr="00510673">
        <w:rPr>
          <w:b/>
          <w:bCs/>
          <w:color w:val="7030A0"/>
        </w:rPr>
        <w:t>and the gap has especially widened since the early 2000s</w:t>
      </w:r>
      <w:r w:rsidR="00FB084C" w:rsidRPr="00510673">
        <w:rPr>
          <w:b/>
          <w:bCs/>
          <w:color w:val="7030A0"/>
        </w:rPr>
        <w:t>, compared to a narrow gap during the 1990s.</w:t>
      </w:r>
      <w:r w:rsidR="00FB084C">
        <w:t xml:space="preserve">  </w:t>
      </w:r>
    </w:p>
    <w:p w14:paraId="2532796E" w14:textId="77777777" w:rsidR="009D6BC8" w:rsidRDefault="009D6BC8"/>
    <w:p w14:paraId="0BC10AAB" w14:textId="55859529" w:rsidR="009D6BC8" w:rsidRDefault="00A1127E">
      <w:r>
        <w:rPr>
          <w:noProof/>
        </w:rPr>
        <w:drawing>
          <wp:inline distT="0" distB="0" distL="0" distR="0" wp14:anchorId="39488F52" wp14:editId="463E0D00">
            <wp:extent cx="6804025" cy="4224655"/>
            <wp:effectExtent l="0" t="0" r="0" b="4445"/>
            <wp:docPr id="8433559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04025" cy="4224655"/>
                    </a:xfrm>
                    <a:prstGeom prst="rect">
                      <a:avLst/>
                    </a:prstGeom>
                    <a:noFill/>
                  </pic:spPr>
                </pic:pic>
              </a:graphicData>
            </a:graphic>
          </wp:inline>
        </w:drawing>
      </w:r>
    </w:p>
    <w:p w14:paraId="6AC20CD8" w14:textId="77777777" w:rsidR="00D44041" w:rsidRDefault="00D44041" w:rsidP="00D44041">
      <w:r>
        <w:t xml:space="preserve">Source:  BLS </w:t>
      </w:r>
      <w:r w:rsidRPr="00A2689E">
        <w:rPr>
          <w:i/>
          <w:iCs/>
        </w:rPr>
        <w:t>Employer Costs for Employee Compensation</w:t>
      </w:r>
      <w:r>
        <w:t xml:space="preserve"> survey </w:t>
      </w:r>
    </w:p>
    <w:p w14:paraId="11D69530" w14:textId="77777777" w:rsidR="000C4C20" w:rsidRDefault="000C4C20"/>
    <w:p w14:paraId="54CE5467" w14:textId="77777777" w:rsidR="002518D6" w:rsidRDefault="002518D6" w:rsidP="00AA3F80">
      <w:pPr>
        <w:rPr>
          <w:b/>
          <w:bCs/>
          <w:color w:val="00B050"/>
        </w:rPr>
      </w:pPr>
      <w:r>
        <w:rPr>
          <w:b/>
          <w:bCs/>
          <w:color w:val="00B050"/>
        </w:rPr>
        <w:br w:type="page"/>
      </w:r>
    </w:p>
    <w:p w14:paraId="7C2A735C" w14:textId="41D2F358" w:rsidR="00AA3F80" w:rsidRPr="00C869B6" w:rsidRDefault="00AA3F80" w:rsidP="00AA3F80">
      <w:pPr>
        <w:rPr>
          <w:b/>
          <w:bCs/>
          <w:color w:val="00B050"/>
        </w:rPr>
      </w:pPr>
      <w:r>
        <w:rPr>
          <w:b/>
          <w:bCs/>
          <w:color w:val="00B050"/>
        </w:rPr>
        <w:lastRenderedPageBreak/>
        <w:t xml:space="preserve">Hourly and Weekly Earnings for Private Sector Employees Only </w:t>
      </w:r>
      <w:r w:rsidRPr="00C869B6">
        <w:rPr>
          <w:b/>
          <w:bCs/>
          <w:color w:val="00B050"/>
        </w:rPr>
        <w:t xml:space="preserve"> </w:t>
      </w:r>
    </w:p>
    <w:p w14:paraId="0398780D" w14:textId="77777777" w:rsidR="00AA3F80" w:rsidRDefault="00AA3F80" w:rsidP="00AA3F80"/>
    <w:p w14:paraId="401FAD27" w14:textId="2593378C" w:rsidR="002518D6" w:rsidRDefault="00F055FC" w:rsidP="00AA3F80">
      <w:r>
        <w:t>We now turn to two other BLS series, which have much narrower coverage of both compensation (restricted to earnings only)</w:t>
      </w:r>
      <w:r w:rsidR="00074EC3">
        <w:t xml:space="preserve">, but which has the advantage of covering a longer timespan.  </w:t>
      </w:r>
      <w:r w:rsidR="00E05378">
        <w:t xml:space="preserve">One of these BLS series </w:t>
      </w:r>
      <w:r w:rsidR="005842AC">
        <w:t xml:space="preserve">is a survey of employers (and therefore misses earnings from multiple jobs), while the other </w:t>
      </w:r>
      <w:r w:rsidR="007F5941">
        <w:t xml:space="preserve">surveys earners themselves.  </w:t>
      </w:r>
    </w:p>
    <w:p w14:paraId="2F83581B" w14:textId="77777777" w:rsidR="007F5941" w:rsidRDefault="007F5941" w:rsidP="00AA3F80"/>
    <w:p w14:paraId="5D681D1E" w14:textId="51DD470E" w:rsidR="007F5941" w:rsidRPr="00EA12EA" w:rsidRDefault="007F5941" w:rsidP="00AA3F80">
      <w:r>
        <w:t xml:space="preserve">The first chart below, </w:t>
      </w:r>
      <w:r w:rsidR="00105F19">
        <w:t xml:space="preserve">an employer survey of </w:t>
      </w:r>
      <w:r w:rsidR="00FC42E7">
        <w:t xml:space="preserve">hourly earnings for </w:t>
      </w:r>
      <w:r w:rsidR="00105F19">
        <w:t>manufacturing production employees, is the longest of our relatively comparable series</w:t>
      </w:r>
      <w:r w:rsidR="00D52AA9">
        <w:t xml:space="preserve">, beginning in 1909 (although it should be noted that due to a later change in the industry classification system, the data prior to 1939 aren’t strictly comparable to later data).  </w:t>
      </w:r>
      <w:r w:rsidR="00CF3D06">
        <w:t xml:space="preserve">Adjusted for inflation, this series shows </w:t>
      </w:r>
      <w:r w:rsidR="00000842">
        <w:t xml:space="preserve">general growth except for the </w:t>
      </w:r>
      <w:r w:rsidR="00EA12EA">
        <w:t>Great Depression</w:t>
      </w:r>
      <w:r w:rsidR="00000842">
        <w:t xml:space="preserve"> (</w:t>
      </w:r>
      <w:r w:rsidR="00EA12EA">
        <w:t xml:space="preserve">the only extended period of </w:t>
      </w:r>
      <w:r w:rsidR="00EA12EA">
        <w:rPr>
          <w:b/>
          <w:bCs/>
          <w:i/>
          <w:iCs/>
        </w:rPr>
        <w:t>de</w:t>
      </w:r>
      <w:r w:rsidR="00EA12EA">
        <w:t xml:space="preserve">flation in modern American history) </w:t>
      </w:r>
      <w:r w:rsidR="009F452A">
        <w:t xml:space="preserve">and the high-inflation period immediately following World War II until earnings growth halted and then declined </w:t>
      </w:r>
      <w:r w:rsidR="00E46637">
        <w:t xml:space="preserve">starting </w:t>
      </w:r>
      <w:r w:rsidR="009F452A">
        <w:t xml:space="preserve">in the </w:t>
      </w:r>
      <w:r w:rsidR="00DF25CD">
        <w:t xml:space="preserve">late </w:t>
      </w:r>
      <w:r w:rsidR="00FC42E7">
        <w:t xml:space="preserve">1970s.  </w:t>
      </w:r>
      <w:r w:rsidR="009B7FCA">
        <w:t xml:space="preserve">Earnings bottomed out in the mid-1990s, then rose until the early </w:t>
      </w:r>
      <w:r w:rsidR="00DD2796">
        <w:t xml:space="preserve">200s before again stagnating during the extended Great Recession period </w:t>
      </w:r>
      <w:r w:rsidR="00875D93">
        <w:t xml:space="preserve">until 2014.  Earnings growth then resumed, </w:t>
      </w:r>
      <w:r w:rsidR="00721E72">
        <w:t xml:space="preserve">but dipped during the recent high-inflation period, </w:t>
      </w:r>
      <w:r w:rsidR="009D37CE">
        <w:t xml:space="preserve">although it again began to growth in 2023. </w:t>
      </w:r>
    </w:p>
    <w:p w14:paraId="06CFF269" w14:textId="77777777" w:rsidR="002518D6" w:rsidRDefault="002518D6" w:rsidP="00AA3F80"/>
    <w:p w14:paraId="5F75AE8F" w14:textId="300A8F11" w:rsidR="00FA1D41" w:rsidRDefault="00D03F1B" w:rsidP="00AA3F80">
      <w:r>
        <w:rPr>
          <w:noProof/>
        </w:rPr>
        <w:drawing>
          <wp:inline distT="0" distB="0" distL="0" distR="0" wp14:anchorId="7B153259" wp14:editId="7F851884">
            <wp:extent cx="7011035" cy="4542155"/>
            <wp:effectExtent l="0" t="0" r="0" b="0"/>
            <wp:docPr id="246290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11035" cy="4542155"/>
                    </a:xfrm>
                    <a:prstGeom prst="rect">
                      <a:avLst/>
                    </a:prstGeom>
                    <a:noFill/>
                  </pic:spPr>
                </pic:pic>
              </a:graphicData>
            </a:graphic>
          </wp:inline>
        </w:drawing>
      </w:r>
    </w:p>
    <w:p w14:paraId="5CE792D0" w14:textId="24DD2012" w:rsidR="00FA1D41" w:rsidRDefault="00C767BA" w:rsidP="00AA3F80">
      <w:r>
        <w:t xml:space="preserve">Source:  BLS </w:t>
      </w:r>
      <w:r w:rsidRPr="00C767BA">
        <w:rPr>
          <w:i/>
          <w:iCs/>
        </w:rPr>
        <w:t>Current Employment Statistics</w:t>
      </w:r>
      <w:r>
        <w:t xml:space="preserve"> </w:t>
      </w:r>
      <w:r w:rsidR="007E68F0">
        <w:t xml:space="preserve">survey, </w:t>
      </w:r>
      <w:r>
        <w:t xml:space="preserve">annual averages of monthly data  </w:t>
      </w:r>
    </w:p>
    <w:p w14:paraId="4959DADF" w14:textId="77777777" w:rsidR="00DB303F" w:rsidRDefault="00DB303F" w:rsidP="00AA3F80"/>
    <w:p w14:paraId="0AEA7ACD" w14:textId="77777777" w:rsidR="00EB2F21" w:rsidRDefault="00EB2F21" w:rsidP="00AA3F80">
      <w:r>
        <w:br w:type="page"/>
      </w:r>
    </w:p>
    <w:p w14:paraId="0B3792C9" w14:textId="5534B261" w:rsidR="00DB303F" w:rsidRDefault="00DB303F" w:rsidP="00AA3F80">
      <w:r>
        <w:lastRenderedPageBreak/>
        <w:t xml:space="preserve">The next chart uses the same inflation-adjusted hourly earnings definition, also from </w:t>
      </w:r>
      <w:r w:rsidR="00B77A30">
        <w:t xml:space="preserve">employers, but covers all private sector production and non-supervisory employees, from 1947 forward.  </w:t>
      </w:r>
      <w:r w:rsidR="007C4972">
        <w:t>It shows a decline from the early</w:t>
      </w:r>
      <w:r w:rsidR="00813693">
        <w:t xml:space="preserve"> </w:t>
      </w:r>
      <w:r w:rsidR="007C4972">
        <w:t xml:space="preserve">1970s </w:t>
      </w:r>
      <w:r w:rsidR="009B21BF">
        <w:t>extending through the mid-1990s</w:t>
      </w:r>
      <w:r w:rsidR="00A63131">
        <w:t xml:space="preserve">, before resuming its general rise </w:t>
      </w:r>
      <w:r w:rsidR="00BA5B39">
        <w:t xml:space="preserve">(again except for the Great Recession) </w:t>
      </w:r>
      <w:r w:rsidR="00306A28">
        <w:t xml:space="preserve">until the beginning of the high-inflation period in 2021, </w:t>
      </w:r>
      <w:r w:rsidR="003410DB">
        <w:t xml:space="preserve">with no clear rise through </w:t>
      </w:r>
      <w:r w:rsidR="007D3964">
        <w:t xml:space="preserve">almost the first half of 2024.  It should be kept in mind that this series </w:t>
      </w:r>
      <w:r w:rsidR="00B26172">
        <w:t xml:space="preserve">doesn’t include the broad coverage available for all private sector employees since 2006, </w:t>
      </w:r>
      <w:r w:rsidR="0081090F">
        <w:t>discussed next</w:t>
      </w:r>
      <w:r w:rsidR="00402D58">
        <w:t xml:space="preserve"> – which shows clear</w:t>
      </w:r>
      <w:r w:rsidR="00EB2F21">
        <w:t xml:space="preserve">ly rising earnings in 2023 and 2024 so far.  </w:t>
      </w:r>
    </w:p>
    <w:p w14:paraId="33110612" w14:textId="77777777" w:rsidR="00EF4E9B" w:rsidRDefault="00EF4E9B" w:rsidP="00AA3F80"/>
    <w:p w14:paraId="61FBD0EB" w14:textId="2E0179C6" w:rsidR="00EF4E9B" w:rsidRDefault="00060204" w:rsidP="00AA3F80">
      <w:r>
        <w:rPr>
          <w:noProof/>
        </w:rPr>
        <w:drawing>
          <wp:inline distT="0" distB="0" distL="0" distR="0" wp14:anchorId="0ADFCEA6" wp14:editId="457B809A">
            <wp:extent cx="6992620" cy="4456430"/>
            <wp:effectExtent l="0" t="0" r="0" b="1270"/>
            <wp:docPr id="989564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92620" cy="4456430"/>
                    </a:xfrm>
                    <a:prstGeom prst="rect">
                      <a:avLst/>
                    </a:prstGeom>
                    <a:noFill/>
                  </pic:spPr>
                </pic:pic>
              </a:graphicData>
            </a:graphic>
          </wp:inline>
        </w:drawing>
      </w:r>
    </w:p>
    <w:p w14:paraId="11CB5973" w14:textId="148CA63F" w:rsidR="00EF4E9B" w:rsidRDefault="00EF4E9B" w:rsidP="00EF4E9B">
      <w:r>
        <w:t xml:space="preserve">Source:  BLS </w:t>
      </w:r>
      <w:r w:rsidRPr="00C767BA">
        <w:rPr>
          <w:i/>
          <w:iCs/>
        </w:rPr>
        <w:t>Current Employment Statistics</w:t>
      </w:r>
      <w:r>
        <w:t xml:space="preserve"> </w:t>
      </w:r>
      <w:r w:rsidR="007E68F0">
        <w:t xml:space="preserve">survey, </w:t>
      </w:r>
      <w:r>
        <w:t xml:space="preserve">annual averages of monthly data  </w:t>
      </w:r>
    </w:p>
    <w:p w14:paraId="562BD8ED" w14:textId="77777777" w:rsidR="00FA1D41" w:rsidRDefault="00FA1D41" w:rsidP="00AA3F80"/>
    <w:p w14:paraId="53635DA6" w14:textId="77777777" w:rsidR="003512B9" w:rsidRDefault="003512B9" w:rsidP="00AA3F80">
      <w:r>
        <w:br w:type="page"/>
      </w:r>
    </w:p>
    <w:p w14:paraId="0B42464B" w14:textId="5252F3E4" w:rsidR="00AA3F80" w:rsidRDefault="00AA3F80" w:rsidP="00AA3F80">
      <w:r>
        <w:lastRenderedPageBreak/>
        <w:t xml:space="preserve">In terms of the earnings, </w:t>
      </w:r>
      <w:r w:rsidR="004219C1">
        <w:t xml:space="preserve">the next </w:t>
      </w:r>
      <w:r>
        <w:t xml:space="preserve">survey </w:t>
      </w:r>
      <w:r w:rsidR="004219C1">
        <w:t xml:space="preserve">has broader </w:t>
      </w:r>
      <w:r w:rsidR="003812F6">
        <w:t>employee coverage, although the series only began in 2006.</w:t>
      </w:r>
      <w:r>
        <w:t xml:space="preserve">  It pertains to </w:t>
      </w:r>
      <w:r w:rsidR="003812F6">
        <w:t xml:space="preserve">all </w:t>
      </w:r>
      <w:r>
        <w:t xml:space="preserve">private sector employees, which in the 2006 to 2024 period constituted about 80 percent of all workers.  These data come from employers, as do the ECEC data, in contrast to the Census Bureau data cited </w:t>
      </w:r>
      <w:r w:rsidR="00C36604">
        <w:t>below</w:t>
      </w:r>
      <w:r>
        <w:t xml:space="preserve">, whose source is the individual earners (or someone in their household).  </w:t>
      </w:r>
    </w:p>
    <w:p w14:paraId="088F6E3C" w14:textId="77777777" w:rsidR="00AA3F80" w:rsidRDefault="00AA3F80" w:rsidP="00AA3F80"/>
    <w:p w14:paraId="0184B61D" w14:textId="77777777" w:rsidR="00AA3F80" w:rsidRDefault="00AA3F80" w:rsidP="00AA3F80">
      <w:r>
        <w:t xml:space="preserve">In 2006, BLS in its </w:t>
      </w:r>
      <w:r w:rsidRPr="009C25CD">
        <w:rPr>
          <w:i/>
          <w:iCs/>
        </w:rPr>
        <w:t>Consumer Employment Statistics</w:t>
      </w:r>
      <w:r>
        <w:t xml:space="preserve"> (CES) survey (commonly referred to as the BLS “establishment” survey) began a new, much more comprehensive series tracking the earnings of employees.  Prior to this, the CES tracked the earnings of production and non-supervisory employees only.  The </w:t>
      </w:r>
      <w:r w:rsidRPr="00B00DD6">
        <w:t>2006 data are for the last 10 months of the year only, as BLS began this series in March.</w:t>
      </w:r>
    </w:p>
    <w:p w14:paraId="5B4B207E" w14:textId="77777777" w:rsidR="00AA3F80" w:rsidRDefault="00AA3F80" w:rsidP="00AA3F80"/>
    <w:p w14:paraId="6C2A772F" w14:textId="35DCE98E" w:rsidR="00AA3F80" w:rsidRDefault="00AA3F80" w:rsidP="00AA3F80">
      <w:r>
        <w:t>Note that the base year BLS uses for its inflation-adjusted data is quite old (adjusting earnings to a combined 1982-84 base period), which results in much lower numbers than if 202</w:t>
      </w:r>
      <w:r w:rsidR="004625A3">
        <w:t>4</w:t>
      </w:r>
      <w:r>
        <w:t xml:space="preserve"> was used as the base year, although this doesn’t affect the time trends.  </w:t>
      </w:r>
    </w:p>
    <w:p w14:paraId="7229A43C" w14:textId="03B77E9C" w:rsidR="00E446AB" w:rsidRDefault="00E446AB" w:rsidP="00AA3F80">
      <w:pPr>
        <w:rPr>
          <w:b/>
          <w:bCs/>
          <w:color w:val="0070C0"/>
        </w:rPr>
      </w:pPr>
    </w:p>
    <w:p w14:paraId="7ACC6831" w14:textId="5D7BD1BA" w:rsidR="00AA3F80" w:rsidRDefault="00AA3F80" w:rsidP="00AA3F80">
      <w:r w:rsidRPr="00E23E79">
        <w:rPr>
          <w:b/>
          <w:bCs/>
          <w:color w:val="0070C0"/>
        </w:rPr>
        <w:t>Trends</w:t>
      </w:r>
      <w:r>
        <w:rPr>
          <w:b/>
          <w:bCs/>
        </w:rPr>
        <w:t>.</w:t>
      </w:r>
      <w:r>
        <w:t xml:space="preserve">  The two charts below show both the similarities and the differences between the pandemic recession and its aftermath, compared to the previous recession (commonly called the “Great Recession,” as it was then among the worst recessions since the Great Depression).  </w:t>
      </w:r>
    </w:p>
    <w:p w14:paraId="0EC6216E" w14:textId="77777777" w:rsidR="00AA3F80" w:rsidRDefault="00AA3F80" w:rsidP="00AA3F80"/>
    <w:p w14:paraId="61FD35BA" w14:textId="77777777" w:rsidR="00AA3F80" w:rsidRDefault="00AA3F80" w:rsidP="00AA3F80">
      <w:r>
        <w:rPr>
          <w:noProof/>
        </w:rPr>
        <w:drawing>
          <wp:inline distT="0" distB="0" distL="0" distR="0" wp14:anchorId="6AFF32B8" wp14:editId="5B49A046">
            <wp:extent cx="5740400" cy="4280388"/>
            <wp:effectExtent l="0" t="0" r="0" b="6350"/>
            <wp:docPr id="495073833"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073833" name="Picture 1" descr="Chart, line 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8655" cy="4286544"/>
                    </a:xfrm>
                    <a:prstGeom prst="rect">
                      <a:avLst/>
                    </a:prstGeom>
                    <a:noFill/>
                  </pic:spPr>
                </pic:pic>
              </a:graphicData>
            </a:graphic>
          </wp:inline>
        </w:drawing>
      </w:r>
    </w:p>
    <w:p w14:paraId="52BE34F2" w14:textId="77777777" w:rsidR="007E68F0" w:rsidRDefault="007E68F0" w:rsidP="007E68F0">
      <w:r>
        <w:t xml:space="preserve">Source:  BLS, </w:t>
      </w:r>
      <w:r w:rsidRPr="009C25CD">
        <w:rPr>
          <w:i/>
          <w:iCs/>
        </w:rPr>
        <w:t>Consumer Employment Statistics</w:t>
      </w:r>
      <w:r>
        <w:t xml:space="preserve"> survey, annual averages of monthly data   </w:t>
      </w:r>
    </w:p>
    <w:p w14:paraId="71166B40" w14:textId="77777777" w:rsidR="00AA3F80" w:rsidRDefault="00AA3F80" w:rsidP="00AA3F80">
      <w:r>
        <w:t>Note:  2024 data are unweighted averages for the first five months of the year</w:t>
      </w:r>
    </w:p>
    <w:p w14:paraId="041D72EF" w14:textId="77777777" w:rsidR="00AA3F80" w:rsidRDefault="00AA3F80" w:rsidP="00AA3F80">
      <w:r>
        <w:br w:type="page"/>
      </w:r>
    </w:p>
    <w:p w14:paraId="78CEF7E3" w14:textId="77777777" w:rsidR="00AA3F80" w:rsidRDefault="00AA3F80" w:rsidP="00AA3F80">
      <w:r w:rsidRPr="00CE512E">
        <w:rPr>
          <w:b/>
          <w:bCs/>
          <w:color w:val="7030A0"/>
        </w:rPr>
        <w:lastRenderedPageBreak/>
        <w:t>The weekly earnings increase between 2022 and 2024 (shown in the chart below) was just .2 percent higher (compared to a .9 percent increase for hourly earnings), which is due to average weekly worktime falling between 2021 and 2024, from 34.7 to 34.5 to 34.4 to 34.3 hours</w:t>
      </w:r>
      <w:r>
        <w:t xml:space="preserve"> (the 2019 annual average was 34.4).  It should be kept in mind that the hourly and weekly earnings measures are connected, in that the weekly earnings average is merely the hourly number multiplied by the average workweek.  Therefore when the two measures move in different ways over time, this is because of changes in </w:t>
      </w:r>
      <w:r>
        <w:rPr>
          <w:i/>
          <w:iCs/>
        </w:rPr>
        <w:t>worktime</w:t>
      </w:r>
      <w:r>
        <w:t xml:space="preserve">, not in the earnings rate. </w:t>
      </w:r>
    </w:p>
    <w:p w14:paraId="3708C117" w14:textId="77777777" w:rsidR="00AA3F80" w:rsidRDefault="00AA3F80" w:rsidP="00AA3F80"/>
    <w:p w14:paraId="65E4727C" w14:textId="77777777" w:rsidR="00AA3F80" w:rsidRDefault="00AA3F80" w:rsidP="00AA3F80">
      <w:r>
        <w:rPr>
          <w:noProof/>
        </w:rPr>
        <w:drawing>
          <wp:inline distT="0" distB="0" distL="0" distR="0" wp14:anchorId="329678C5" wp14:editId="51A3E127">
            <wp:extent cx="5720080" cy="4146168"/>
            <wp:effectExtent l="0" t="0" r="0" b="6985"/>
            <wp:docPr id="20404153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1532" name="Picture 2" descr="Chart, line 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6580" cy="4150879"/>
                    </a:xfrm>
                    <a:prstGeom prst="rect">
                      <a:avLst/>
                    </a:prstGeom>
                    <a:noFill/>
                  </pic:spPr>
                </pic:pic>
              </a:graphicData>
            </a:graphic>
          </wp:inline>
        </w:drawing>
      </w:r>
    </w:p>
    <w:p w14:paraId="0808E4CE" w14:textId="7FF52F39" w:rsidR="00AA3F80" w:rsidRDefault="00AA3F80" w:rsidP="00AA3F80">
      <w:r>
        <w:t xml:space="preserve">Source:  BLS, </w:t>
      </w:r>
      <w:r w:rsidRPr="009C25CD">
        <w:rPr>
          <w:i/>
          <w:iCs/>
        </w:rPr>
        <w:t>Consumer Employment Statistics</w:t>
      </w:r>
      <w:r>
        <w:t xml:space="preserve"> survey</w:t>
      </w:r>
      <w:r w:rsidR="007E68F0">
        <w:t xml:space="preserve">, annual averages of monthly data </w:t>
      </w:r>
      <w:r>
        <w:t xml:space="preserve">  </w:t>
      </w:r>
    </w:p>
    <w:p w14:paraId="583E5993" w14:textId="77777777" w:rsidR="00AA3F80" w:rsidRDefault="00AA3F80" w:rsidP="00AA3F80">
      <w:r>
        <w:t>Note:  2024 data are unweighted averages for the first five months of the year</w:t>
      </w:r>
    </w:p>
    <w:p w14:paraId="28BFF757" w14:textId="77777777" w:rsidR="00AA3F80" w:rsidRDefault="00AA3F80"/>
    <w:p w14:paraId="2C20BC01" w14:textId="61A6EA94" w:rsidR="00AA3F80" w:rsidRDefault="00AA3F80">
      <w:r>
        <w:rPr>
          <w:b/>
          <w:bCs/>
          <w:color w:val="00B050"/>
        </w:rPr>
        <w:t xml:space="preserve">Weekly Earnings </w:t>
      </w:r>
      <w:r w:rsidR="00A74FFC">
        <w:rPr>
          <w:b/>
          <w:bCs/>
          <w:color w:val="00B050"/>
        </w:rPr>
        <w:t xml:space="preserve">of Full-Time Workers </w:t>
      </w:r>
    </w:p>
    <w:p w14:paraId="70224602" w14:textId="77777777" w:rsidR="00AA3F80" w:rsidRDefault="00AA3F80"/>
    <w:p w14:paraId="782DAC2D" w14:textId="25A2DB05" w:rsidR="006B3567" w:rsidRDefault="00CE578D">
      <w:r>
        <w:t>The source of this next series is earners themselves (or someone in their household), as opposed to the employer survey data examined in all the charts above</w:t>
      </w:r>
      <w:r w:rsidR="00C76984">
        <w:t xml:space="preserve"> (it also relies upon the median rather than the mean average used in other sources)</w:t>
      </w:r>
      <w:r>
        <w:t xml:space="preserve">.  </w:t>
      </w:r>
      <w:r w:rsidR="00515811">
        <w:t>It has somewhat of a disadvantage in its used of the somewhat fuzzy concept of “usual” earnings</w:t>
      </w:r>
      <w:r w:rsidR="00762845">
        <w:t xml:space="preserve">, in contrast to the actual </w:t>
      </w:r>
      <w:r w:rsidR="00365729">
        <w:t xml:space="preserve">compensation/earnings definitions used in other series. </w:t>
      </w:r>
      <w:r w:rsidR="00762845">
        <w:t xml:space="preserve"> BLS uses </w:t>
      </w:r>
      <w:r w:rsidR="00365729">
        <w:t xml:space="preserve">the concept of “usual” earnings </w:t>
      </w:r>
      <w:r w:rsidR="00377105">
        <w:t xml:space="preserve">to obtain a more typical picture of earnings, apart from the variations that occur from time to time in most people’s earnings.  </w:t>
      </w:r>
      <w:r w:rsidR="00B242CA">
        <w:t xml:space="preserve">As shown in the chart </w:t>
      </w:r>
      <w:r w:rsidR="006C241D">
        <w:t xml:space="preserve">below, this survey’s results are more erratic than those for other </w:t>
      </w:r>
      <w:r w:rsidR="00235125">
        <w:t xml:space="preserve">sources.  However, they too show the common trend of a rise until the early 1970s (although this series only began in 1967), </w:t>
      </w:r>
      <w:r w:rsidR="00427E59">
        <w:t>decline and then stagnation through the mid</w:t>
      </w:r>
      <w:r w:rsidR="00585D6B">
        <w:t>-</w:t>
      </w:r>
      <w:r w:rsidR="00427E59">
        <w:t>1990s</w:t>
      </w:r>
      <w:r w:rsidR="004F51E0">
        <w:t xml:space="preserve">, followed by two separate growth spurts.  One occurred in the late 1990s and early 2000s, </w:t>
      </w:r>
      <w:r w:rsidR="0004439B">
        <w:t xml:space="preserve">while the other occurred from 2014 through the first year of the pandemic.  </w:t>
      </w:r>
    </w:p>
    <w:p w14:paraId="0614E439" w14:textId="77777777" w:rsidR="002C06A4" w:rsidRDefault="002C06A4"/>
    <w:p w14:paraId="69415528" w14:textId="6288B9F2" w:rsidR="002C06A4" w:rsidRDefault="002C06A4">
      <w:r>
        <w:t>For the last few years,</w:t>
      </w:r>
      <w:r w:rsidR="000224C9">
        <w:t xml:space="preserve"> it shows that full-time median earnings </w:t>
      </w:r>
      <w:r w:rsidR="00C76984">
        <w:t>have yet to full</w:t>
      </w:r>
      <w:r w:rsidR="00EE2D60">
        <w:t>y</w:t>
      </w:r>
      <w:r w:rsidR="00C76984">
        <w:t xml:space="preserve"> </w:t>
      </w:r>
      <w:r w:rsidR="00EE2D60">
        <w:t xml:space="preserve">recover, and in fact declined between 2023 annual average and the first quarter of </w:t>
      </w:r>
      <w:r w:rsidR="00FC05CE">
        <w:t>2024</w:t>
      </w:r>
      <w:r w:rsidR="00C12FBF">
        <w:t xml:space="preserve"> – compared to the increases shown by the </w:t>
      </w:r>
      <w:r w:rsidR="008F504D">
        <w:t>employer</w:t>
      </w:r>
      <w:r w:rsidR="00C12FBF">
        <w:t xml:space="preserve">-based compensation and </w:t>
      </w:r>
      <w:r w:rsidR="008F504D">
        <w:t>earnings results described in the previous sections (</w:t>
      </w:r>
      <w:r w:rsidR="00482BAF">
        <w:t xml:space="preserve">keeping in mind that the this survey covers all full-time workers, while the </w:t>
      </w:r>
      <w:r w:rsidR="00704867">
        <w:t xml:space="preserve">previous sources are both narrower in their inclusion of private sector employees only, and broader in that they examine </w:t>
      </w:r>
      <w:r w:rsidR="00E205EB">
        <w:t xml:space="preserve">earnings for </w:t>
      </w:r>
      <w:r w:rsidR="00704867">
        <w:t xml:space="preserve">all </w:t>
      </w:r>
      <w:r w:rsidR="00E205EB">
        <w:t xml:space="preserve">of them, not just among those working full-time).  </w:t>
      </w:r>
    </w:p>
    <w:p w14:paraId="7BD58357" w14:textId="2BC561AE" w:rsidR="00AA3F80" w:rsidRDefault="00C05913">
      <w:r>
        <w:rPr>
          <w:noProof/>
        </w:rPr>
        <w:lastRenderedPageBreak/>
        <w:drawing>
          <wp:inline distT="0" distB="0" distL="0" distR="0" wp14:anchorId="4E412494" wp14:editId="1BFDA952">
            <wp:extent cx="5715000" cy="3838575"/>
            <wp:effectExtent l="0" t="0" r="0" b="9525"/>
            <wp:docPr id="562580463" name="Chart 1">
              <a:extLst xmlns:a="http://schemas.openxmlformats.org/drawingml/2006/main">
                <a:ext uri="{FF2B5EF4-FFF2-40B4-BE49-F238E27FC236}">
                  <a16:creationId xmlns:a16="http://schemas.microsoft.com/office/drawing/2014/main" id="{9FEDD095-2A45-1FE4-5872-F342E00727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AC17ECE" w14:textId="7FF61586" w:rsidR="00AA3F80" w:rsidRDefault="00272F72">
      <w:r>
        <w:t xml:space="preserve">Source:  BLS </w:t>
      </w:r>
      <w:r w:rsidR="00D3721E" w:rsidRPr="00D3721E">
        <w:rPr>
          <w:i/>
          <w:iCs/>
        </w:rPr>
        <w:t>Current Population Survey</w:t>
      </w:r>
      <w:r w:rsidR="00D3721E">
        <w:t xml:space="preserve"> </w:t>
      </w:r>
      <w:r w:rsidR="007E68F0">
        <w:t xml:space="preserve">annual averages of </w:t>
      </w:r>
      <w:r w:rsidR="00D3721E">
        <w:t xml:space="preserve">monthly data </w:t>
      </w:r>
    </w:p>
    <w:p w14:paraId="6C3C373E" w14:textId="77777777" w:rsidR="00272F72" w:rsidRDefault="00272F72"/>
    <w:p w14:paraId="75684E01" w14:textId="526F7F50" w:rsidR="00243FAA" w:rsidRPr="00C869B6" w:rsidRDefault="00243FAA" w:rsidP="00243FAA">
      <w:pPr>
        <w:rPr>
          <w:b/>
          <w:bCs/>
          <w:color w:val="00B050"/>
        </w:rPr>
      </w:pPr>
      <w:r>
        <w:rPr>
          <w:b/>
          <w:bCs/>
          <w:color w:val="00B050"/>
        </w:rPr>
        <w:t xml:space="preserve">Annual Earnings of All Workers </w:t>
      </w:r>
      <w:r w:rsidRPr="00C869B6">
        <w:rPr>
          <w:b/>
          <w:bCs/>
          <w:color w:val="00B050"/>
        </w:rPr>
        <w:t xml:space="preserve"> </w:t>
      </w:r>
    </w:p>
    <w:p w14:paraId="1DAE2A43" w14:textId="77777777" w:rsidR="00D44041" w:rsidRDefault="00D44041"/>
    <w:p w14:paraId="29F3FDDC" w14:textId="1F81CEB8" w:rsidR="00C36038" w:rsidRDefault="0088182E">
      <w:r>
        <w:t>The Census Bureau’</w:t>
      </w:r>
      <w:r w:rsidR="005E59E0">
        <w:t xml:space="preserve">s Annual Social and Economic Supplement </w:t>
      </w:r>
      <w:r w:rsidR="00904D47">
        <w:t xml:space="preserve">(ASEC) </w:t>
      </w:r>
      <w:r w:rsidR="005E59E0">
        <w:t xml:space="preserve">to the </w:t>
      </w:r>
      <w:r w:rsidR="005E59E0" w:rsidRPr="00706C69">
        <w:rPr>
          <w:i/>
          <w:iCs/>
        </w:rPr>
        <w:t>Current Population Survey</w:t>
      </w:r>
      <w:r w:rsidR="005E59E0">
        <w:t xml:space="preserve"> (</w:t>
      </w:r>
      <w:r w:rsidR="00264202">
        <w:t xml:space="preserve">CPS) doesn’t estimate the value of non-cash </w:t>
      </w:r>
      <w:r w:rsidR="008E7B51">
        <w:t>benefits (although it does collect data on whether workers have health insurance coverage through their employer)</w:t>
      </w:r>
      <w:r w:rsidR="00706C69">
        <w:t xml:space="preserve">.  </w:t>
      </w:r>
      <w:r w:rsidR="00773D7B">
        <w:t>O</w:t>
      </w:r>
      <w:r w:rsidR="00706C69">
        <w:t xml:space="preserve">n the other hand, it covers all </w:t>
      </w:r>
      <w:r w:rsidR="00D36749">
        <w:t xml:space="preserve">workers – including </w:t>
      </w:r>
      <w:r w:rsidR="00415E63">
        <w:t xml:space="preserve">the </w:t>
      </w:r>
      <w:r w:rsidR="00D36749">
        <w:t xml:space="preserve">Federal employees and the </w:t>
      </w:r>
      <w:r w:rsidR="00062516">
        <w:t>self-employed excluded by the ECEC, as described above</w:t>
      </w:r>
      <w:r w:rsidR="00415E63">
        <w:t xml:space="preserve">.  Moreover, </w:t>
      </w:r>
      <w:r w:rsidR="005B4D97">
        <w:t>data on hourly compensation rates</w:t>
      </w:r>
      <w:r w:rsidR="00A117CB">
        <w:t xml:space="preserve"> --</w:t>
      </w:r>
      <w:r w:rsidR="005B4D97">
        <w:t xml:space="preserve"> such as the ECEC and the </w:t>
      </w:r>
      <w:r w:rsidR="00EE6D6A">
        <w:t xml:space="preserve">BLS establishment data </w:t>
      </w:r>
      <w:r w:rsidR="00A117CB">
        <w:t xml:space="preserve">analyzed in the next section below – do not account </w:t>
      </w:r>
      <w:r w:rsidR="00284ECF">
        <w:t xml:space="preserve">for how much time </w:t>
      </w:r>
      <w:r w:rsidR="009B3269">
        <w:t>individuals labor</w:t>
      </w:r>
      <w:r w:rsidR="00284ECF">
        <w:t xml:space="preserve">, and insufficient earnings can be due to inadequate worktime as </w:t>
      </w:r>
      <w:r w:rsidR="00B76573">
        <w:t>much as to a</w:t>
      </w:r>
      <w:r w:rsidR="00F3605A">
        <w:t xml:space="preserve"> </w:t>
      </w:r>
      <w:r w:rsidR="00B76573">
        <w:t xml:space="preserve">low wage rate. By measuring earnings over an entire </w:t>
      </w:r>
      <w:r w:rsidR="00904D47">
        <w:t xml:space="preserve">year, the CPS ASEC data </w:t>
      </w:r>
      <w:r w:rsidR="00F3605A">
        <w:t xml:space="preserve">incorporate </w:t>
      </w:r>
      <w:r w:rsidR="00904D47">
        <w:t xml:space="preserve">both a low earnings rate and </w:t>
      </w:r>
      <w:r w:rsidR="00530DD2">
        <w:t>inadequate worktime</w:t>
      </w:r>
      <w:r w:rsidR="005906E9">
        <w:t xml:space="preserve"> into their results</w:t>
      </w:r>
      <w:r w:rsidR="00530DD2">
        <w:t xml:space="preserve">.  These data also cover the longest </w:t>
      </w:r>
      <w:r w:rsidR="005906E9">
        <w:t>duration</w:t>
      </w:r>
      <w:r w:rsidR="00530DD2">
        <w:t>, from 1974</w:t>
      </w:r>
      <w:r w:rsidR="000150DC">
        <w:t xml:space="preserve"> forward on an annual basis (</w:t>
      </w:r>
      <w:r w:rsidR="00C722AB">
        <w:t xml:space="preserve">annual </w:t>
      </w:r>
      <w:r w:rsidR="000150DC">
        <w:t xml:space="preserve">earnings data from the decennial censuses </w:t>
      </w:r>
      <w:r w:rsidR="00D1676A">
        <w:t xml:space="preserve">and the CPS ASEC are available from 1939 forward, but not for </w:t>
      </w:r>
      <w:r w:rsidR="00C722AB">
        <w:t>every</w:t>
      </w:r>
      <w:r w:rsidR="00D1676A">
        <w:t xml:space="preserve"> year, and not </w:t>
      </w:r>
      <w:r w:rsidR="00C722AB">
        <w:t xml:space="preserve">for the separate types of workers analyzed below). </w:t>
      </w:r>
    </w:p>
    <w:p w14:paraId="1C3E2761" w14:textId="77777777" w:rsidR="00C36038" w:rsidRDefault="00C36038"/>
    <w:p w14:paraId="0C0FED76" w14:textId="65DA2CED" w:rsidR="00543597" w:rsidRDefault="00543597">
      <w:r>
        <w:t xml:space="preserve">These data are reviewed in two charts below, </w:t>
      </w:r>
      <w:r w:rsidR="006043E7">
        <w:t>the first</w:t>
      </w:r>
      <w:r>
        <w:t xml:space="preserve"> available </w:t>
      </w:r>
      <w:r w:rsidR="006043E7">
        <w:t xml:space="preserve">for all workers since 1967, and the second available for a slightly shorter timeframe of 1974 forward that separates </w:t>
      </w:r>
      <w:r w:rsidR="008360D7">
        <w:t>private sector, governmental, and self-employed workers.</w:t>
      </w:r>
      <w:r w:rsidR="00107E5F">
        <w:rPr>
          <w:rStyle w:val="FootnoteReference"/>
        </w:rPr>
        <w:footnoteReference w:id="4"/>
      </w:r>
      <w:r w:rsidR="008360D7">
        <w:t xml:space="preserve"> </w:t>
      </w:r>
    </w:p>
    <w:p w14:paraId="0785557C" w14:textId="77777777" w:rsidR="00543597" w:rsidRDefault="00543597"/>
    <w:p w14:paraId="0B5D4A27" w14:textId="79A4111F" w:rsidR="00243FAA" w:rsidRDefault="008F741D">
      <w:r w:rsidRPr="00E23E79">
        <w:rPr>
          <w:b/>
          <w:bCs/>
          <w:color w:val="0070C0"/>
        </w:rPr>
        <w:t>Trends</w:t>
      </w:r>
      <w:r>
        <w:rPr>
          <w:b/>
          <w:bCs/>
        </w:rPr>
        <w:t>.</w:t>
      </w:r>
      <w:r>
        <w:t xml:space="preserve">  </w:t>
      </w:r>
      <w:r w:rsidR="00314551" w:rsidRPr="000C3E83">
        <w:rPr>
          <w:b/>
          <w:bCs/>
          <w:color w:val="7030A0"/>
        </w:rPr>
        <w:t xml:space="preserve">Annual earnings for all workers tended to </w:t>
      </w:r>
      <w:r w:rsidR="008360D7">
        <w:rPr>
          <w:b/>
          <w:bCs/>
          <w:color w:val="7030A0"/>
        </w:rPr>
        <w:t>grow sluggishly</w:t>
      </w:r>
      <w:r w:rsidR="00314551" w:rsidRPr="000C3E83">
        <w:rPr>
          <w:b/>
          <w:bCs/>
          <w:color w:val="7030A0"/>
        </w:rPr>
        <w:t xml:space="preserve"> in </w:t>
      </w:r>
      <w:r w:rsidR="007F06A9" w:rsidRPr="000C3E83">
        <w:rPr>
          <w:b/>
          <w:bCs/>
          <w:color w:val="7030A0"/>
        </w:rPr>
        <w:t>much of the 1970s</w:t>
      </w:r>
      <w:r w:rsidR="00BE72EA" w:rsidRPr="000C3E83">
        <w:rPr>
          <w:b/>
          <w:bCs/>
          <w:color w:val="7030A0"/>
        </w:rPr>
        <w:t xml:space="preserve">, rose </w:t>
      </w:r>
      <w:r w:rsidR="002240BB">
        <w:rPr>
          <w:b/>
          <w:bCs/>
          <w:color w:val="7030A0"/>
        </w:rPr>
        <w:t xml:space="preserve">again </w:t>
      </w:r>
      <w:r w:rsidR="00BE72EA" w:rsidRPr="000C3E83">
        <w:rPr>
          <w:b/>
          <w:bCs/>
          <w:color w:val="7030A0"/>
        </w:rPr>
        <w:t>in the 19</w:t>
      </w:r>
      <w:r w:rsidR="00390973">
        <w:rPr>
          <w:b/>
          <w:bCs/>
          <w:color w:val="7030A0"/>
        </w:rPr>
        <w:t>8</w:t>
      </w:r>
      <w:r w:rsidR="00BE72EA" w:rsidRPr="000C3E83">
        <w:rPr>
          <w:b/>
          <w:bCs/>
          <w:color w:val="7030A0"/>
        </w:rPr>
        <w:t>0s through the turn of the millennium</w:t>
      </w:r>
      <w:r w:rsidR="00C77DCD" w:rsidRPr="000C3E83">
        <w:rPr>
          <w:b/>
          <w:bCs/>
          <w:color w:val="7030A0"/>
        </w:rPr>
        <w:t xml:space="preserve">, and then </w:t>
      </w:r>
      <w:r w:rsidR="002240BB">
        <w:rPr>
          <w:b/>
          <w:bCs/>
          <w:color w:val="7030A0"/>
        </w:rPr>
        <w:t>grew sluggishly</w:t>
      </w:r>
      <w:r w:rsidR="00C77DCD" w:rsidRPr="000C3E83">
        <w:rPr>
          <w:b/>
          <w:bCs/>
          <w:color w:val="7030A0"/>
        </w:rPr>
        <w:t xml:space="preserve"> again </w:t>
      </w:r>
      <w:r w:rsidR="002240BB">
        <w:rPr>
          <w:b/>
          <w:bCs/>
          <w:color w:val="7030A0"/>
        </w:rPr>
        <w:t xml:space="preserve">in the expanded Great Recession period </w:t>
      </w:r>
      <w:r w:rsidR="00C77DCD" w:rsidRPr="000C3E83">
        <w:rPr>
          <w:b/>
          <w:bCs/>
          <w:color w:val="7030A0"/>
        </w:rPr>
        <w:t>through 2014</w:t>
      </w:r>
      <w:r w:rsidR="00C85BE5" w:rsidRPr="000C3E83">
        <w:rPr>
          <w:b/>
          <w:bCs/>
          <w:color w:val="7030A0"/>
        </w:rPr>
        <w:t xml:space="preserve">.  </w:t>
      </w:r>
      <w:r w:rsidR="0045118F" w:rsidRPr="000C3E83">
        <w:rPr>
          <w:b/>
          <w:bCs/>
          <w:color w:val="7030A0"/>
        </w:rPr>
        <w:t>Earnings then rose until 2019, prior to the pandemic, but again st</w:t>
      </w:r>
      <w:r w:rsidR="001B429F" w:rsidRPr="000C3E83">
        <w:rPr>
          <w:b/>
          <w:bCs/>
          <w:color w:val="7030A0"/>
        </w:rPr>
        <w:t>agnated through 2022.</w:t>
      </w:r>
      <w:r w:rsidR="001B429F">
        <w:t xml:space="preserve">  </w:t>
      </w:r>
      <w:r w:rsidR="001A656E">
        <w:t xml:space="preserve">Annual 2023 earnings won’t become available until September, but based upon other surveys </w:t>
      </w:r>
      <w:r w:rsidR="003A54F6">
        <w:t xml:space="preserve">an increase is </w:t>
      </w:r>
      <w:r w:rsidR="00472A1F">
        <w:t>possible</w:t>
      </w:r>
      <w:r w:rsidR="003A54F6">
        <w:t xml:space="preserve">.  </w:t>
      </w:r>
    </w:p>
    <w:p w14:paraId="34BC74A4" w14:textId="77777777" w:rsidR="00C92266" w:rsidRDefault="00C92266"/>
    <w:p w14:paraId="181D4E79" w14:textId="4B6B94AC" w:rsidR="00C92266" w:rsidRDefault="009F5F66">
      <w:r>
        <w:rPr>
          <w:noProof/>
        </w:rPr>
        <w:lastRenderedPageBreak/>
        <w:drawing>
          <wp:inline distT="0" distB="0" distL="0" distR="0" wp14:anchorId="327EF596" wp14:editId="5B93AD48">
            <wp:extent cx="6699885" cy="4364990"/>
            <wp:effectExtent l="0" t="0" r="5715" b="0"/>
            <wp:docPr id="16685144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99885" cy="4364990"/>
                    </a:xfrm>
                    <a:prstGeom prst="rect">
                      <a:avLst/>
                    </a:prstGeom>
                    <a:noFill/>
                  </pic:spPr>
                </pic:pic>
              </a:graphicData>
            </a:graphic>
          </wp:inline>
        </w:drawing>
      </w:r>
    </w:p>
    <w:p w14:paraId="284CAC5B" w14:textId="77777777" w:rsidR="009F5F66" w:rsidRDefault="009F5F66" w:rsidP="009F5F66">
      <w:r>
        <w:t xml:space="preserve">Source:  U.S. Census Bureau, </w:t>
      </w:r>
      <w:r w:rsidRPr="00683D8A">
        <w:rPr>
          <w:i/>
          <w:iCs/>
        </w:rPr>
        <w:t>Current Population Survey</w:t>
      </w:r>
      <w:r>
        <w:t xml:space="preserve"> (CPS), Annual Social and Economic Supplement </w:t>
      </w:r>
    </w:p>
    <w:p w14:paraId="554DE4BB" w14:textId="77777777" w:rsidR="009F5F66" w:rsidRDefault="009F5F66"/>
    <w:p w14:paraId="23C9C9F0" w14:textId="11F1F02D" w:rsidR="0065348B" w:rsidRDefault="00BB0ADD">
      <w:r>
        <w:t xml:space="preserve">As </w:t>
      </w:r>
      <w:r w:rsidR="003D12C7">
        <w:t xml:space="preserve">shown in the chart below, </w:t>
      </w:r>
      <w:r w:rsidR="003D12C7" w:rsidRPr="00342E31">
        <w:rPr>
          <w:b/>
          <w:bCs/>
          <w:color w:val="7030A0"/>
        </w:rPr>
        <w:t xml:space="preserve">private sector and governmental employee annual earnings </w:t>
      </w:r>
      <w:r w:rsidR="00091801" w:rsidRPr="00342E31">
        <w:rPr>
          <w:b/>
          <w:bCs/>
          <w:color w:val="7030A0"/>
        </w:rPr>
        <w:t xml:space="preserve">tend to move in the same </w:t>
      </w:r>
      <w:r w:rsidR="001B3FA3" w:rsidRPr="00342E31">
        <w:rPr>
          <w:b/>
          <w:bCs/>
          <w:color w:val="7030A0"/>
        </w:rPr>
        <w:t xml:space="preserve">pattern, and there isn’t a large difference between </w:t>
      </w:r>
      <w:r w:rsidR="00DF403C" w:rsidRPr="00342E31">
        <w:rPr>
          <w:b/>
          <w:bCs/>
          <w:color w:val="7030A0"/>
        </w:rPr>
        <w:t xml:space="preserve">them, most of which is caused by governmental employees </w:t>
      </w:r>
      <w:r w:rsidR="00834973" w:rsidRPr="00342E31">
        <w:rPr>
          <w:b/>
          <w:bCs/>
          <w:color w:val="7030A0"/>
        </w:rPr>
        <w:t xml:space="preserve">being more likely to hold professional jobs and possessing more education.  </w:t>
      </w:r>
      <w:r w:rsidR="001D309C" w:rsidRPr="00342E31">
        <w:rPr>
          <w:b/>
          <w:bCs/>
          <w:color w:val="7030A0"/>
        </w:rPr>
        <w:t xml:space="preserve">In contrast, annual earnings of the self-employed </w:t>
      </w:r>
      <w:r w:rsidR="00CC62E4" w:rsidRPr="00342E31">
        <w:rPr>
          <w:b/>
          <w:bCs/>
          <w:color w:val="7030A0"/>
        </w:rPr>
        <w:t xml:space="preserve">are much more erratic, and there is often a much larger gap between their earnings and </w:t>
      </w:r>
      <w:r w:rsidR="00FB2F76" w:rsidRPr="00342E31">
        <w:rPr>
          <w:b/>
          <w:bCs/>
          <w:color w:val="7030A0"/>
        </w:rPr>
        <w:t xml:space="preserve">those of employees.  Self-employment </w:t>
      </w:r>
      <w:r w:rsidR="006529D8" w:rsidRPr="00342E31">
        <w:rPr>
          <w:b/>
          <w:bCs/>
          <w:color w:val="7030A0"/>
        </w:rPr>
        <w:t xml:space="preserve">annual </w:t>
      </w:r>
      <w:r w:rsidR="00FB2F76" w:rsidRPr="00342E31">
        <w:rPr>
          <w:b/>
          <w:bCs/>
          <w:color w:val="7030A0"/>
        </w:rPr>
        <w:t xml:space="preserve">earnings </w:t>
      </w:r>
      <w:r w:rsidR="006529D8" w:rsidRPr="00342E31">
        <w:rPr>
          <w:b/>
          <w:bCs/>
          <w:color w:val="7030A0"/>
        </w:rPr>
        <w:t xml:space="preserve">tend to fall much more during high unemployment periods than those of </w:t>
      </w:r>
      <w:r w:rsidR="00586373" w:rsidRPr="00342E31">
        <w:rPr>
          <w:b/>
          <w:bCs/>
          <w:color w:val="7030A0"/>
        </w:rPr>
        <w:t>employees</w:t>
      </w:r>
      <w:r w:rsidR="00BA68D9" w:rsidRPr="00342E31">
        <w:rPr>
          <w:b/>
          <w:bCs/>
          <w:color w:val="7030A0"/>
        </w:rPr>
        <w:t xml:space="preserve">.  This </w:t>
      </w:r>
      <w:r w:rsidR="00586373" w:rsidRPr="00342E31">
        <w:rPr>
          <w:b/>
          <w:bCs/>
          <w:color w:val="7030A0"/>
        </w:rPr>
        <w:t>caus</w:t>
      </w:r>
      <w:r w:rsidR="00BA68D9" w:rsidRPr="00342E31">
        <w:rPr>
          <w:b/>
          <w:bCs/>
          <w:color w:val="7030A0"/>
        </w:rPr>
        <w:t>es</w:t>
      </w:r>
      <w:r w:rsidR="00586373" w:rsidRPr="00342E31">
        <w:rPr>
          <w:b/>
          <w:bCs/>
          <w:color w:val="7030A0"/>
        </w:rPr>
        <w:t xml:space="preserve"> a significant narrowing of the employee/self-employed earnings gap</w:t>
      </w:r>
      <w:r w:rsidR="00905E0C" w:rsidRPr="00342E31">
        <w:rPr>
          <w:b/>
          <w:bCs/>
          <w:color w:val="7030A0"/>
        </w:rPr>
        <w:t xml:space="preserve">, and sometimes a reversal of the more common </w:t>
      </w:r>
      <w:r w:rsidR="000469CB" w:rsidRPr="00342E31">
        <w:rPr>
          <w:b/>
          <w:bCs/>
          <w:color w:val="7030A0"/>
        </w:rPr>
        <w:t xml:space="preserve">pattern, whereby the annual earnings of the self-employed </w:t>
      </w:r>
      <w:r w:rsidR="00CE0A6B">
        <w:rPr>
          <w:b/>
          <w:bCs/>
          <w:color w:val="7030A0"/>
        </w:rPr>
        <w:t>fall</w:t>
      </w:r>
      <w:r w:rsidR="000469CB" w:rsidRPr="00342E31">
        <w:rPr>
          <w:b/>
          <w:bCs/>
          <w:color w:val="7030A0"/>
        </w:rPr>
        <w:t xml:space="preserve"> </w:t>
      </w:r>
      <w:r w:rsidR="000469CB" w:rsidRPr="00CE0A6B">
        <w:rPr>
          <w:b/>
          <w:bCs/>
          <w:i/>
          <w:iCs/>
          <w:color w:val="7030A0"/>
        </w:rPr>
        <w:t>below</w:t>
      </w:r>
      <w:r w:rsidR="000469CB" w:rsidRPr="00342E31">
        <w:rPr>
          <w:b/>
          <w:bCs/>
          <w:color w:val="7030A0"/>
        </w:rPr>
        <w:t xml:space="preserve"> those of </w:t>
      </w:r>
      <w:r w:rsidR="00BA68D9" w:rsidRPr="00342E31">
        <w:rPr>
          <w:b/>
          <w:bCs/>
          <w:color w:val="7030A0"/>
        </w:rPr>
        <w:t>employees – this occurred both during the 198</w:t>
      </w:r>
      <w:r w:rsidR="0074139C" w:rsidRPr="00342E31">
        <w:rPr>
          <w:b/>
          <w:bCs/>
          <w:color w:val="7030A0"/>
        </w:rPr>
        <w:t>0s, and more briefly during the pandemic recession.</w:t>
      </w:r>
      <w:r w:rsidR="0074139C">
        <w:t xml:space="preserve">  </w:t>
      </w:r>
      <w:r w:rsidR="00BA68D9">
        <w:t xml:space="preserve"> </w:t>
      </w:r>
    </w:p>
    <w:p w14:paraId="04D1B8A6" w14:textId="77777777" w:rsidR="008C28D0" w:rsidRDefault="008C28D0"/>
    <w:p w14:paraId="34427AA8" w14:textId="6161430D" w:rsidR="00243FAA" w:rsidRPr="00080DC7" w:rsidRDefault="008C28D0">
      <w:pPr>
        <w:rPr>
          <w:b/>
          <w:bCs/>
        </w:rPr>
      </w:pPr>
      <w:r w:rsidRPr="00080DC7">
        <w:rPr>
          <w:b/>
          <w:bCs/>
          <w:color w:val="7030A0"/>
        </w:rPr>
        <w:t xml:space="preserve">As noted above, it should be kept in mind that </w:t>
      </w:r>
      <w:r w:rsidR="007158DA" w:rsidRPr="00080DC7">
        <w:rPr>
          <w:b/>
          <w:bCs/>
          <w:color w:val="7030A0"/>
        </w:rPr>
        <w:t xml:space="preserve">the self-employed obtain virtually no non-cash benefits, </w:t>
      </w:r>
      <w:r w:rsidR="00DB31EF" w:rsidRPr="00080DC7">
        <w:rPr>
          <w:b/>
          <w:bCs/>
          <w:color w:val="7030A0"/>
        </w:rPr>
        <w:t xml:space="preserve">which account for a nearly one-third of total compensation among </w:t>
      </w:r>
      <w:r w:rsidR="00F50371" w:rsidRPr="00080DC7">
        <w:rPr>
          <w:b/>
          <w:bCs/>
          <w:color w:val="7030A0"/>
        </w:rPr>
        <w:t xml:space="preserve">employees.  This would significantly narrow the overall the </w:t>
      </w:r>
      <w:r w:rsidR="003C50A5" w:rsidRPr="00080DC7">
        <w:rPr>
          <w:b/>
          <w:bCs/>
          <w:color w:val="7030A0"/>
        </w:rPr>
        <w:t xml:space="preserve">earnings advantage of the self-employed.  </w:t>
      </w:r>
      <w:r w:rsidR="00046362" w:rsidRPr="00080DC7">
        <w:rPr>
          <w:b/>
          <w:bCs/>
          <w:color w:val="7030A0"/>
        </w:rPr>
        <w:t xml:space="preserve">The self-employed </w:t>
      </w:r>
      <w:r w:rsidR="00B6633F">
        <w:rPr>
          <w:b/>
          <w:bCs/>
          <w:color w:val="7030A0"/>
        </w:rPr>
        <w:t xml:space="preserve">also </w:t>
      </w:r>
      <w:r w:rsidR="00046362" w:rsidRPr="00080DC7">
        <w:rPr>
          <w:b/>
          <w:bCs/>
          <w:color w:val="7030A0"/>
        </w:rPr>
        <w:t xml:space="preserve">face an important </w:t>
      </w:r>
      <w:r w:rsidR="008B3F7A" w:rsidRPr="00080DC7">
        <w:rPr>
          <w:b/>
          <w:bCs/>
          <w:color w:val="7030A0"/>
        </w:rPr>
        <w:t>disadvantage relative to employees</w:t>
      </w:r>
      <w:r w:rsidR="00B6633F">
        <w:rPr>
          <w:b/>
          <w:bCs/>
          <w:color w:val="7030A0"/>
        </w:rPr>
        <w:t xml:space="preserve"> regarding after-tax earnings</w:t>
      </w:r>
      <w:r w:rsidR="008B3F7A" w:rsidRPr="00080DC7">
        <w:rPr>
          <w:b/>
          <w:bCs/>
          <w:color w:val="7030A0"/>
        </w:rPr>
        <w:t xml:space="preserve">, in that they must pay the entirety of their Social Security </w:t>
      </w:r>
      <w:r w:rsidR="00C3433F" w:rsidRPr="00080DC7">
        <w:rPr>
          <w:b/>
          <w:bCs/>
          <w:color w:val="7030A0"/>
        </w:rPr>
        <w:t xml:space="preserve">withholding taxes, whereas for employees, </w:t>
      </w:r>
      <w:r w:rsidR="00CD326F" w:rsidRPr="00080DC7">
        <w:rPr>
          <w:b/>
          <w:bCs/>
          <w:color w:val="7030A0"/>
        </w:rPr>
        <w:t xml:space="preserve">employers pay </w:t>
      </w:r>
      <w:r w:rsidR="00C3433F" w:rsidRPr="00080DC7">
        <w:rPr>
          <w:b/>
          <w:bCs/>
          <w:color w:val="7030A0"/>
        </w:rPr>
        <w:t xml:space="preserve">half of </w:t>
      </w:r>
      <w:r w:rsidR="00A17665">
        <w:rPr>
          <w:b/>
          <w:bCs/>
          <w:color w:val="7030A0"/>
        </w:rPr>
        <w:t xml:space="preserve">this </w:t>
      </w:r>
      <w:r w:rsidR="00C3433F" w:rsidRPr="00080DC7">
        <w:rPr>
          <w:b/>
          <w:bCs/>
          <w:color w:val="7030A0"/>
        </w:rPr>
        <w:t>tax</w:t>
      </w:r>
      <w:r w:rsidR="00A17665">
        <w:rPr>
          <w:b/>
          <w:bCs/>
          <w:color w:val="7030A0"/>
        </w:rPr>
        <w:t xml:space="preserve"> burden</w:t>
      </w:r>
      <w:r w:rsidR="00CD326F" w:rsidRPr="00080DC7">
        <w:rPr>
          <w:b/>
          <w:bCs/>
          <w:color w:val="7030A0"/>
        </w:rPr>
        <w:t>.</w:t>
      </w:r>
      <w:r w:rsidR="00CD326F" w:rsidRPr="00080DC7">
        <w:rPr>
          <w:b/>
          <w:bCs/>
        </w:rPr>
        <w:t xml:space="preserve">  </w:t>
      </w:r>
    </w:p>
    <w:p w14:paraId="0A8E6E7D" w14:textId="77777777" w:rsidR="00D44041" w:rsidRDefault="00D44041"/>
    <w:p w14:paraId="257D51D0" w14:textId="769B677A" w:rsidR="00364D86" w:rsidRDefault="00364D86">
      <w:r>
        <w:rPr>
          <w:noProof/>
        </w:rPr>
        <w:lastRenderedPageBreak/>
        <w:drawing>
          <wp:inline distT="0" distB="0" distL="0" distR="0" wp14:anchorId="182A710A" wp14:editId="38CD6FBA">
            <wp:extent cx="7032396" cy="4635348"/>
            <wp:effectExtent l="0" t="0" r="0" b="0"/>
            <wp:docPr id="18631434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39687" cy="4640154"/>
                    </a:xfrm>
                    <a:prstGeom prst="rect">
                      <a:avLst/>
                    </a:prstGeom>
                    <a:noFill/>
                  </pic:spPr>
                </pic:pic>
              </a:graphicData>
            </a:graphic>
          </wp:inline>
        </w:drawing>
      </w:r>
    </w:p>
    <w:p w14:paraId="6579F18E" w14:textId="128C7635" w:rsidR="00364D86" w:rsidRDefault="00364D86">
      <w:r>
        <w:t xml:space="preserve">Source:  </w:t>
      </w:r>
      <w:r w:rsidR="00683D8A">
        <w:t xml:space="preserve">U.S. Census Bureau, </w:t>
      </w:r>
      <w:r w:rsidR="00683D8A" w:rsidRPr="00683D8A">
        <w:rPr>
          <w:i/>
          <w:iCs/>
        </w:rPr>
        <w:t>Current Population Survey</w:t>
      </w:r>
      <w:r w:rsidR="00683D8A">
        <w:t xml:space="preserve"> (CPS), Annual Social and Economic Supplement </w:t>
      </w:r>
    </w:p>
    <w:p w14:paraId="00B1B1AC" w14:textId="77777777" w:rsidR="000C4C20" w:rsidRDefault="000C4C20"/>
    <w:p w14:paraId="4EF0BE4D" w14:textId="48390F7D" w:rsidR="00531A82" w:rsidRDefault="00531A82" w:rsidP="00E5753B">
      <w:pPr>
        <w:rPr>
          <w:b/>
          <w:bCs/>
          <w:color w:val="00B050"/>
        </w:rPr>
      </w:pPr>
    </w:p>
    <w:p w14:paraId="125680AD" w14:textId="77777777" w:rsidR="00524989" w:rsidRDefault="00524989"/>
    <w:p w14:paraId="69020DC1" w14:textId="77777777" w:rsidR="00C0741B" w:rsidRDefault="00C0741B"/>
    <w:p w14:paraId="57B132B7" w14:textId="77777777" w:rsidR="00C0741B" w:rsidRDefault="00C0741B"/>
    <w:p w14:paraId="6D70A83A" w14:textId="1BD6BFA3" w:rsidR="00C0741B" w:rsidRDefault="00C0741B">
      <w:r>
        <w:t>[</w:t>
      </w:r>
      <w:r w:rsidR="00E10B92">
        <w:t>6</w:t>
      </w:r>
      <w:r>
        <w:t>-1</w:t>
      </w:r>
      <w:r w:rsidR="003D4CB2">
        <w:t>8</w:t>
      </w:r>
      <w:r>
        <w:t xml:space="preserve">-24, by Frank Gallo, at </w:t>
      </w:r>
      <w:hyperlink r:id="rId17" w:history="1">
        <w:r w:rsidRPr="006F3AAE">
          <w:rPr>
            <w:rStyle w:val="Hyperlink"/>
          </w:rPr>
          <w:t>Gallo.Frank@DOL.gov</w:t>
        </w:r>
      </w:hyperlink>
      <w:r>
        <w:t xml:space="preserve">] </w:t>
      </w:r>
    </w:p>
    <w:p w14:paraId="11BD8CED" w14:textId="77777777" w:rsidR="00F84A89" w:rsidRDefault="00F84A89"/>
    <w:p w14:paraId="747BB188" w14:textId="77777777" w:rsidR="00F84A89" w:rsidRDefault="00F84A89"/>
    <w:p w14:paraId="34187574" w14:textId="77777777" w:rsidR="00C8506E" w:rsidRDefault="00C8506E"/>
    <w:sectPr w:rsidR="00C8506E" w:rsidSect="00D00539">
      <w:footerReference w:type="default" r:id="rId18"/>
      <w:pgSz w:w="12240" w:h="15840"/>
      <w:pgMar w:top="576" w:right="576" w:bottom="57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8F004C" w14:textId="77777777" w:rsidR="006415EB" w:rsidRDefault="006415EB" w:rsidP="00642CDA">
      <w:r>
        <w:separator/>
      </w:r>
    </w:p>
  </w:endnote>
  <w:endnote w:type="continuationSeparator" w:id="0">
    <w:p w14:paraId="534D0CF3" w14:textId="77777777" w:rsidR="006415EB" w:rsidRDefault="006415EB" w:rsidP="00642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3491648"/>
      <w:docPartObj>
        <w:docPartGallery w:val="Page Numbers (Bottom of Page)"/>
        <w:docPartUnique/>
      </w:docPartObj>
    </w:sdtPr>
    <w:sdtEndPr/>
    <w:sdtContent>
      <w:sdt>
        <w:sdtPr>
          <w:id w:val="1728636285"/>
          <w:docPartObj>
            <w:docPartGallery w:val="Page Numbers (Top of Page)"/>
            <w:docPartUnique/>
          </w:docPartObj>
        </w:sdtPr>
        <w:sdtEndPr/>
        <w:sdtContent>
          <w:p w14:paraId="04FBAB1B" w14:textId="3814AB8E" w:rsidR="00642CDA" w:rsidRDefault="00642CD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06AB8C6" w14:textId="77777777" w:rsidR="00642CDA" w:rsidRDefault="00642C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BDF988" w14:textId="77777777" w:rsidR="006415EB" w:rsidRDefault="006415EB" w:rsidP="00642CDA">
      <w:r>
        <w:separator/>
      </w:r>
    </w:p>
  </w:footnote>
  <w:footnote w:type="continuationSeparator" w:id="0">
    <w:p w14:paraId="581C9E45" w14:textId="77777777" w:rsidR="006415EB" w:rsidRDefault="006415EB" w:rsidP="00642CDA">
      <w:r>
        <w:continuationSeparator/>
      </w:r>
    </w:p>
  </w:footnote>
  <w:footnote w:id="1">
    <w:p w14:paraId="1921545F" w14:textId="18CD0F77" w:rsidR="000A242E" w:rsidRPr="00D37D91" w:rsidRDefault="000A242E">
      <w:pPr>
        <w:pStyle w:val="FootnoteText"/>
        <w:rPr>
          <w:i/>
          <w:iCs/>
        </w:rPr>
      </w:pPr>
      <w:r>
        <w:rPr>
          <w:rStyle w:val="FootnoteReference"/>
        </w:rPr>
        <w:footnoteRef/>
      </w:r>
      <w:r>
        <w:t xml:space="preserve"> </w:t>
      </w:r>
      <w:r w:rsidRPr="00D37D91">
        <w:t xml:space="preserve">The official BLS CPI series begins with </w:t>
      </w:r>
      <w:r w:rsidR="00695810" w:rsidRPr="00D37D91">
        <w:t xml:space="preserve">2013, but can be extended earlier in time using a consistent series </w:t>
      </w:r>
      <w:r w:rsidR="006F5F87" w:rsidRPr="00D37D91">
        <w:t xml:space="preserve">from </w:t>
      </w:r>
      <w:r w:rsidR="003C73C0" w:rsidRPr="00D37D91">
        <w:t xml:space="preserve">Susan B. Carter et al, </w:t>
      </w:r>
      <w:r w:rsidR="00920D62" w:rsidRPr="00D37D91">
        <w:t xml:space="preserve">U.S. Census Bureau, </w:t>
      </w:r>
      <w:r w:rsidR="00920D62" w:rsidRPr="00D37D91">
        <w:rPr>
          <w:i/>
          <w:iCs/>
        </w:rPr>
        <w:t xml:space="preserve">Historical Statistics of the United States Millennial Edition, Volume 3, </w:t>
      </w:r>
      <w:r w:rsidR="008E435E" w:rsidRPr="00D37D91">
        <w:rPr>
          <w:i/>
          <w:iCs/>
        </w:rPr>
        <w:t>Economic Structure and Performance</w:t>
      </w:r>
      <w:r w:rsidR="00D37D91" w:rsidRPr="00D37D91">
        <w:t xml:space="preserve"> </w:t>
      </w:r>
      <w:r w:rsidR="00920D62" w:rsidRPr="00D37D91">
        <w:t>(2006)</w:t>
      </w:r>
      <w:r w:rsidR="008E435E" w:rsidRPr="00D37D91">
        <w:t>, Table C</w:t>
      </w:r>
      <w:r w:rsidR="00D842BF" w:rsidRPr="00D37D91">
        <w:t>c1-2, p. 3:158.</w:t>
      </w:r>
    </w:p>
  </w:footnote>
  <w:footnote w:id="2">
    <w:p w14:paraId="28CD2178" w14:textId="326B9487" w:rsidR="00FB20FC" w:rsidRDefault="00FB20FC">
      <w:pPr>
        <w:pStyle w:val="FootnoteText"/>
      </w:pPr>
      <w:r>
        <w:rPr>
          <w:rStyle w:val="FootnoteReference"/>
        </w:rPr>
        <w:footnoteRef/>
      </w:r>
      <w:r>
        <w:t xml:space="preserve"> </w:t>
      </w:r>
      <w:r w:rsidR="005A3C1C">
        <w:t>For a good overview of BLS’s role, see “</w:t>
      </w:r>
      <w:r w:rsidR="005A3C1C" w:rsidRPr="00667E5D">
        <w:t>A Century of Wage Statistics : The BLS Contribution</w:t>
      </w:r>
      <w:r w:rsidR="005A3C1C">
        <w:t xml:space="preserve">,” BLS </w:t>
      </w:r>
      <w:r w:rsidR="005A3C1C" w:rsidRPr="005A3C1C">
        <w:rPr>
          <w:i/>
          <w:iCs/>
        </w:rPr>
        <w:t>Monthly Labor Review</w:t>
      </w:r>
      <w:r w:rsidR="005A3C1C">
        <w:t xml:space="preserve">,  November 1984 </w:t>
      </w:r>
      <w:hyperlink r:id="rId1" w:anchor="611454" w:history="1">
        <w:r w:rsidR="005A3C1C" w:rsidRPr="00EB7C0F">
          <w:rPr>
            <w:rStyle w:val="Hyperlink"/>
          </w:rPr>
          <w:t>https://fraser.stlouisfed.org/title/monthly-labor-review-6130?browse=1980s#611454</w:t>
        </w:r>
      </w:hyperlink>
      <w:r w:rsidR="004F15BA">
        <w:t xml:space="preserve">; for the early data itself, see </w:t>
      </w:r>
      <w:r w:rsidR="004F15BA" w:rsidRPr="00D37D91">
        <w:rPr>
          <w:i/>
          <w:iCs/>
        </w:rPr>
        <w:t xml:space="preserve">Historical Statistics of the United States Millennial Edition, Volume </w:t>
      </w:r>
      <w:r w:rsidR="004F15BA">
        <w:rPr>
          <w:i/>
          <w:iCs/>
        </w:rPr>
        <w:t>2</w:t>
      </w:r>
      <w:r w:rsidR="004F15BA" w:rsidRPr="00D37D91">
        <w:rPr>
          <w:i/>
          <w:iCs/>
        </w:rPr>
        <w:t xml:space="preserve">, </w:t>
      </w:r>
      <w:r w:rsidR="001C0DA5" w:rsidRPr="001C0DA5">
        <w:rPr>
          <w:i/>
          <w:iCs/>
        </w:rPr>
        <w:t>Work and Welfare</w:t>
      </w:r>
      <w:r w:rsidR="004F15BA" w:rsidRPr="00D37D91">
        <w:t xml:space="preserve"> (2006), </w:t>
      </w:r>
      <w:r w:rsidR="001C0DA5">
        <w:t>p</w:t>
      </w:r>
      <w:r w:rsidR="004F15BA" w:rsidRPr="00D37D91">
        <w:t xml:space="preserve">p. </w:t>
      </w:r>
      <w:r w:rsidR="001C0DA5">
        <w:t>2</w:t>
      </w:r>
      <w:r w:rsidR="004F15BA" w:rsidRPr="00D37D91">
        <w:t>:</w:t>
      </w:r>
      <w:r w:rsidR="001C0DA5">
        <w:t>254-</w:t>
      </w:r>
      <w:r w:rsidR="00EC43BE">
        <w:t>281</w:t>
      </w:r>
    </w:p>
  </w:footnote>
  <w:footnote w:id="3">
    <w:p w14:paraId="640767BD" w14:textId="3A1EFE96" w:rsidR="00EA60AA" w:rsidRDefault="00EA60AA">
      <w:pPr>
        <w:pStyle w:val="FootnoteText"/>
      </w:pPr>
      <w:r>
        <w:rPr>
          <w:rStyle w:val="FootnoteReference"/>
        </w:rPr>
        <w:footnoteRef/>
      </w:r>
      <w:r>
        <w:t xml:space="preserve"> </w:t>
      </w:r>
      <w:r w:rsidR="00AA26AC">
        <w:t xml:space="preserve">Compensation and benefit trends for manufacturing production workers for 1959 through 1977 </w:t>
      </w:r>
      <w:r w:rsidR="00C80F8E">
        <w:t>aren’t included in the charts, but are shown in the attached spreadsheet</w:t>
      </w:r>
      <w:r w:rsidR="00F7107E">
        <w:t xml:space="preserve">. </w:t>
      </w:r>
    </w:p>
  </w:footnote>
  <w:footnote w:id="4">
    <w:p w14:paraId="7DFA7548" w14:textId="70350398" w:rsidR="00107E5F" w:rsidRDefault="00107E5F">
      <w:pPr>
        <w:pStyle w:val="FootnoteText"/>
      </w:pPr>
      <w:r>
        <w:rPr>
          <w:rStyle w:val="FootnoteReference"/>
        </w:rPr>
        <w:footnoteRef/>
      </w:r>
      <w:r>
        <w:t xml:space="preserve"> Note that these two tables use slightly different base years for the inflation-adjustment (2022 and 2020, respectively).  When the Census Bureau issues </w:t>
      </w:r>
      <w:r w:rsidR="00314A20">
        <w:t>the 2023 data later this year, I’ll convert both these charts to a 2024 base year for the inflation-adjusted adjustment</w:t>
      </w:r>
      <w:r w:rsidR="00340826">
        <w:t>.  The choice of the base year affects the actual numbers, but doesn’t change the trendline.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989"/>
    <w:rsid w:val="00000842"/>
    <w:rsid w:val="000072AD"/>
    <w:rsid w:val="00010D95"/>
    <w:rsid w:val="00010F99"/>
    <w:rsid w:val="000150DC"/>
    <w:rsid w:val="00015CEC"/>
    <w:rsid w:val="000224C9"/>
    <w:rsid w:val="00035335"/>
    <w:rsid w:val="000403CE"/>
    <w:rsid w:val="0004439B"/>
    <w:rsid w:val="000445E3"/>
    <w:rsid w:val="00046362"/>
    <w:rsid w:val="000469CB"/>
    <w:rsid w:val="000469F6"/>
    <w:rsid w:val="000549FF"/>
    <w:rsid w:val="00060204"/>
    <w:rsid w:val="000616A0"/>
    <w:rsid w:val="00061DC9"/>
    <w:rsid w:val="00062516"/>
    <w:rsid w:val="00063524"/>
    <w:rsid w:val="0007110A"/>
    <w:rsid w:val="00073185"/>
    <w:rsid w:val="00074EC3"/>
    <w:rsid w:val="00080DC7"/>
    <w:rsid w:val="00091801"/>
    <w:rsid w:val="00093BE6"/>
    <w:rsid w:val="000A0BC8"/>
    <w:rsid w:val="000A242E"/>
    <w:rsid w:val="000A2CF2"/>
    <w:rsid w:val="000A30E3"/>
    <w:rsid w:val="000B2AC8"/>
    <w:rsid w:val="000B2D17"/>
    <w:rsid w:val="000B59D2"/>
    <w:rsid w:val="000C3E83"/>
    <w:rsid w:val="000C4C20"/>
    <w:rsid w:val="000D11FC"/>
    <w:rsid w:val="000D1CE0"/>
    <w:rsid w:val="000E2D1F"/>
    <w:rsid w:val="000E4CBF"/>
    <w:rsid w:val="000E5E43"/>
    <w:rsid w:val="000E7253"/>
    <w:rsid w:val="000F0556"/>
    <w:rsid w:val="000F4991"/>
    <w:rsid w:val="00105F19"/>
    <w:rsid w:val="00107E5F"/>
    <w:rsid w:val="00114AA6"/>
    <w:rsid w:val="0011619B"/>
    <w:rsid w:val="00120BF6"/>
    <w:rsid w:val="00121CA8"/>
    <w:rsid w:val="001274AA"/>
    <w:rsid w:val="0017769F"/>
    <w:rsid w:val="00182033"/>
    <w:rsid w:val="001929AB"/>
    <w:rsid w:val="00194015"/>
    <w:rsid w:val="00195CB9"/>
    <w:rsid w:val="00196C49"/>
    <w:rsid w:val="001A1C99"/>
    <w:rsid w:val="001A4AB6"/>
    <w:rsid w:val="001A656E"/>
    <w:rsid w:val="001A77BA"/>
    <w:rsid w:val="001B28BF"/>
    <w:rsid w:val="001B3FA3"/>
    <w:rsid w:val="001B429F"/>
    <w:rsid w:val="001C0DA5"/>
    <w:rsid w:val="001C6C48"/>
    <w:rsid w:val="001D28EA"/>
    <w:rsid w:val="001D309C"/>
    <w:rsid w:val="001D557E"/>
    <w:rsid w:val="001F5EC7"/>
    <w:rsid w:val="00211BE6"/>
    <w:rsid w:val="0021221D"/>
    <w:rsid w:val="00216C29"/>
    <w:rsid w:val="002209B7"/>
    <w:rsid w:val="00220DF0"/>
    <w:rsid w:val="002240BB"/>
    <w:rsid w:val="00227E7C"/>
    <w:rsid w:val="0023072A"/>
    <w:rsid w:val="00235125"/>
    <w:rsid w:val="00243FAA"/>
    <w:rsid w:val="002518D6"/>
    <w:rsid w:val="00256CC1"/>
    <w:rsid w:val="00264202"/>
    <w:rsid w:val="002657AF"/>
    <w:rsid w:val="00272D88"/>
    <w:rsid w:val="00272F72"/>
    <w:rsid w:val="00274BD5"/>
    <w:rsid w:val="0028285F"/>
    <w:rsid w:val="00284ECF"/>
    <w:rsid w:val="00290C98"/>
    <w:rsid w:val="00291BA4"/>
    <w:rsid w:val="00294EE6"/>
    <w:rsid w:val="00297582"/>
    <w:rsid w:val="002C02C6"/>
    <w:rsid w:val="002C06A4"/>
    <w:rsid w:val="002C4883"/>
    <w:rsid w:val="002D29F1"/>
    <w:rsid w:val="002D6EC3"/>
    <w:rsid w:val="002E18DB"/>
    <w:rsid w:val="002E5B9B"/>
    <w:rsid w:val="002E7E9A"/>
    <w:rsid w:val="002F7C23"/>
    <w:rsid w:val="00306A28"/>
    <w:rsid w:val="00314551"/>
    <w:rsid w:val="00314A20"/>
    <w:rsid w:val="00321BB5"/>
    <w:rsid w:val="00324FD8"/>
    <w:rsid w:val="00340826"/>
    <w:rsid w:val="003410DB"/>
    <w:rsid w:val="00342E31"/>
    <w:rsid w:val="00350B65"/>
    <w:rsid w:val="003512B9"/>
    <w:rsid w:val="00364D86"/>
    <w:rsid w:val="00365729"/>
    <w:rsid w:val="00366DCF"/>
    <w:rsid w:val="00377105"/>
    <w:rsid w:val="003812F6"/>
    <w:rsid w:val="0038277F"/>
    <w:rsid w:val="00390973"/>
    <w:rsid w:val="0039183D"/>
    <w:rsid w:val="003A42B6"/>
    <w:rsid w:val="003A54F6"/>
    <w:rsid w:val="003A5E5D"/>
    <w:rsid w:val="003C50A5"/>
    <w:rsid w:val="003C73C0"/>
    <w:rsid w:val="003D12C7"/>
    <w:rsid w:val="003D4CB2"/>
    <w:rsid w:val="003F1C3D"/>
    <w:rsid w:val="003F4C59"/>
    <w:rsid w:val="003F505B"/>
    <w:rsid w:val="00400D8A"/>
    <w:rsid w:val="00401298"/>
    <w:rsid w:val="00402D0F"/>
    <w:rsid w:val="00402D58"/>
    <w:rsid w:val="00404EB0"/>
    <w:rsid w:val="004058C6"/>
    <w:rsid w:val="00412054"/>
    <w:rsid w:val="00415E63"/>
    <w:rsid w:val="004201E3"/>
    <w:rsid w:val="004219C1"/>
    <w:rsid w:val="0042660D"/>
    <w:rsid w:val="00427E59"/>
    <w:rsid w:val="00436045"/>
    <w:rsid w:val="00436A08"/>
    <w:rsid w:val="00437A17"/>
    <w:rsid w:val="004441C0"/>
    <w:rsid w:val="0044774D"/>
    <w:rsid w:val="0045118F"/>
    <w:rsid w:val="004613D7"/>
    <w:rsid w:val="004625A3"/>
    <w:rsid w:val="00465429"/>
    <w:rsid w:val="00466F3A"/>
    <w:rsid w:val="00472A1F"/>
    <w:rsid w:val="0047594F"/>
    <w:rsid w:val="00482BAF"/>
    <w:rsid w:val="00485353"/>
    <w:rsid w:val="00492534"/>
    <w:rsid w:val="004A534A"/>
    <w:rsid w:val="004A6838"/>
    <w:rsid w:val="004A6D34"/>
    <w:rsid w:val="004B0A89"/>
    <w:rsid w:val="004B4F58"/>
    <w:rsid w:val="004B64FA"/>
    <w:rsid w:val="004C43C1"/>
    <w:rsid w:val="004D0A49"/>
    <w:rsid w:val="004F15BA"/>
    <w:rsid w:val="004F1A23"/>
    <w:rsid w:val="004F51E0"/>
    <w:rsid w:val="005010A1"/>
    <w:rsid w:val="0050310C"/>
    <w:rsid w:val="00510673"/>
    <w:rsid w:val="00514A26"/>
    <w:rsid w:val="00515811"/>
    <w:rsid w:val="00516B0C"/>
    <w:rsid w:val="00524989"/>
    <w:rsid w:val="00530DD2"/>
    <w:rsid w:val="00531A82"/>
    <w:rsid w:val="00543597"/>
    <w:rsid w:val="00555A10"/>
    <w:rsid w:val="005564FF"/>
    <w:rsid w:val="00557FEC"/>
    <w:rsid w:val="005607BD"/>
    <w:rsid w:val="005623E9"/>
    <w:rsid w:val="00563D9D"/>
    <w:rsid w:val="005736DA"/>
    <w:rsid w:val="00574EA9"/>
    <w:rsid w:val="00581AA0"/>
    <w:rsid w:val="005842AC"/>
    <w:rsid w:val="00585D6B"/>
    <w:rsid w:val="00586373"/>
    <w:rsid w:val="005864F7"/>
    <w:rsid w:val="005906E9"/>
    <w:rsid w:val="00595240"/>
    <w:rsid w:val="005A3C1C"/>
    <w:rsid w:val="005A6E47"/>
    <w:rsid w:val="005B4D97"/>
    <w:rsid w:val="005B5264"/>
    <w:rsid w:val="005C0ECF"/>
    <w:rsid w:val="005C6A6C"/>
    <w:rsid w:val="005C745D"/>
    <w:rsid w:val="005C7F5D"/>
    <w:rsid w:val="005E59E0"/>
    <w:rsid w:val="005F61D1"/>
    <w:rsid w:val="006043E7"/>
    <w:rsid w:val="0062038A"/>
    <w:rsid w:val="006236E2"/>
    <w:rsid w:val="0062421F"/>
    <w:rsid w:val="006253CE"/>
    <w:rsid w:val="006406FE"/>
    <w:rsid w:val="006415EB"/>
    <w:rsid w:val="00641A85"/>
    <w:rsid w:val="00642CDA"/>
    <w:rsid w:val="00645B35"/>
    <w:rsid w:val="00645C06"/>
    <w:rsid w:val="00651D65"/>
    <w:rsid w:val="006529D8"/>
    <w:rsid w:val="0065348B"/>
    <w:rsid w:val="00655D60"/>
    <w:rsid w:val="006654C8"/>
    <w:rsid w:val="00667E5D"/>
    <w:rsid w:val="00667F58"/>
    <w:rsid w:val="0067110A"/>
    <w:rsid w:val="0068174B"/>
    <w:rsid w:val="00683D8A"/>
    <w:rsid w:val="00695810"/>
    <w:rsid w:val="00696195"/>
    <w:rsid w:val="006B2752"/>
    <w:rsid w:val="006B3567"/>
    <w:rsid w:val="006C241D"/>
    <w:rsid w:val="006D594A"/>
    <w:rsid w:val="006F5F87"/>
    <w:rsid w:val="006F6727"/>
    <w:rsid w:val="00704867"/>
    <w:rsid w:val="00706C69"/>
    <w:rsid w:val="007144E7"/>
    <w:rsid w:val="007158DA"/>
    <w:rsid w:val="00721E72"/>
    <w:rsid w:val="0072253E"/>
    <w:rsid w:val="0072410A"/>
    <w:rsid w:val="00733E19"/>
    <w:rsid w:val="0074139C"/>
    <w:rsid w:val="007554AB"/>
    <w:rsid w:val="007559EC"/>
    <w:rsid w:val="00762845"/>
    <w:rsid w:val="007638EF"/>
    <w:rsid w:val="00767952"/>
    <w:rsid w:val="00773D7B"/>
    <w:rsid w:val="00780F5E"/>
    <w:rsid w:val="00783113"/>
    <w:rsid w:val="00783522"/>
    <w:rsid w:val="007854ED"/>
    <w:rsid w:val="00786389"/>
    <w:rsid w:val="007931AC"/>
    <w:rsid w:val="00797CB6"/>
    <w:rsid w:val="007A62E9"/>
    <w:rsid w:val="007B26F0"/>
    <w:rsid w:val="007B36B9"/>
    <w:rsid w:val="007C12A6"/>
    <w:rsid w:val="007C4972"/>
    <w:rsid w:val="007D3964"/>
    <w:rsid w:val="007E25AA"/>
    <w:rsid w:val="007E2D20"/>
    <w:rsid w:val="007E48F9"/>
    <w:rsid w:val="007E68F0"/>
    <w:rsid w:val="007E7F5F"/>
    <w:rsid w:val="007F06A9"/>
    <w:rsid w:val="007F1BCD"/>
    <w:rsid w:val="007F3273"/>
    <w:rsid w:val="007F5941"/>
    <w:rsid w:val="0080681B"/>
    <w:rsid w:val="0081090F"/>
    <w:rsid w:val="00813693"/>
    <w:rsid w:val="008149BA"/>
    <w:rsid w:val="00820740"/>
    <w:rsid w:val="00821397"/>
    <w:rsid w:val="00824AD5"/>
    <w:rsid w:val="008269C7"/>
    <w:rsid w:val="00834973"/>
    <w:rsid w:val="008360D7"/>
    <w:rsid w:val="008405BD"/>
    <w:rsid w:val="00845955"/>
    <w:rsid w:val="0084741B"/>
    <w:rsid w:val="00856F38"/>
    <w:rsid w:val="00864A6A"/>
    <w:rsid w:val="00870EFD"/>
    <w:rsid w:val="00872124"/>
    <w:rsid w:val="008739C2"/>
    <w:rsid w:val="00875D93"/>
    <w:rsid w:val="0088182E"/>
    <w:rsid w:val="00884603"/>
    <w:rsid w:val="00885AA7"/>
    <w:rsid w:val="00893957"/>
    <w:rsid w:val="00896B77"/>
    <w:rsid w:val="008A38F9"/>
    <w:rsid w:val="008A7F4D"/>
    <w:rsid w:val="008B3F7A"/>
    <w:rsid w:val="008B69A0"/>
    <w:rsid w:val="008C1DE0"/>
    <w:rsid w:val="008C28D0"/>
    <w:rsid w:val="008C2B70"/>
    <w:rsid w:val="008C3B9A"/>
    <w:rsid w:val="008D12B8"/>
    <w:rsid w:val="008D7EA7"/>
    <w:rsid w:val="008E098D"/>
    <w:rsid w:val="008E435E"/>
    <w:rsid w:val="008E4CA9"/>
    <w:rsid w:val="008E5E0E"/>
    <w:rsid w:val="008E6210"/>
    <w:rsid w:val="008E670D"/>
    <w:rsid w:val="008E7B51"/>
    <w:rsid w:val="008F0B1E"/>
    <w:rsid w:val="008F504D"/>
    <w:rsid w:val="008F741D"/>
    <w:rsid w:val="0090226E"/>
    <w:rsid w:val="00904D47"/>
    <w:rsid w:val="00905E0C"/>
    <w:rsid w:val="00911388"/>
    <w:rsid w:val="00913589"/>
    <w:rsid w:val="00914FEE"/>
    <w:rsid w:val="00920D62"/>
    <w:rsid w:val="00921A58"/>
    <w:rsid w:val="009231C8"/>
    <w:rsid w:val="0092455A"/>
    <w:rsid w:val="009267F7"/>
    <w:rsid w:val="009268E7"/>
    <w:rsid w:val="00934586"/>
    <w:rsid w:val="00936B8E"/>
    <w:rsid w:val="00943E29"/>
    <w:rsid w:val="00957D03"/>
    <w:rsid w:val="00957F92"/>
    <w:rsid w:val="009647F1"/>
    <w:rsid w:val="0096775A"/>
    <w:rsid w:val="00975C30"/>
    <w:rsid w:val="009836C1"/>
    <w:rsid w:val="00987BD9"/>
    <w:rsid w:val="00987D6A"/>
    <w:rsid w:val="0099661A"/>
    <w:rsid w:val="009A5B3F"/>
    <w:rsid w:val="009B21BF"/>
    <w:rsid w:val="009B3269"/>
    <w:rsid w:val="009B4FD8"/>
    <w:rsid w:val="009B7FCA"/>
    <w:rsid w:val="009C0651"/>
    <w:rsid w:val="009C0BF7"/>
    <w:rsid w:val="009C25CD"/>
    <w:rsid w:val="009C57E4"/>
    <w:rsid w:val="009C6037"/>
    <w:rsid w:val="009D37CE"/>
    <w:rsid w:val="009D6BC8"/>
    <w:rsid w:val="009E4E3A"/>
    <w:rsid w:val="009F452A"/>
    <w:rsid w:val="009F5F66"/>
    <w:rsid w:val="009F768C"/>
    <w:rsid w:val="00A04227"/>
    <w:rsid w:val="00A04F27"/>
    <w:rsid w:val="00A106EC"/>
    <w:rsid w:val="00A10704"/>
    <w:rsid w:val="00A1127E"/>
    <w:rsid w:val="00A117CB"/>
    <w:rsid w:val="00A15717"/>
    <w:rsid w:val="00A17665"/>
    <w:rsid w:val="00A2689E"/>
    <w:rsid w:val="00A2703D"/>
    <w:rsid w:val="00A2708D"/>
    <w:rsid w:val="00A274E3"/>
    <w:rsid w:val="00A30389"/>
    <w:rsid w:val="00A30F75"/>
    <w:rsid w:val="00A3561F"/>
    <w:rsid w:val="00A429F8"/>
    <w:rsid w:val="00A44A67"/>
    <w:rsid w:val="00A52A87"/>
    <w:rsid w:val="00A53199"/>
    <w:rsid w:val="00A555DD"/>
    <w:rsid w:val="00A57060"/>
    <w:rsid w:val="00A63131"/>
    <w:rsid w:val="00A65149"/>
    <w:rsid w:val="00A67C28"/>
    <w:rsid w:val="00A74FFC"/>
    <w:rsid w:val="00A77B76"/>
    <w:rsid w:val="00A808A9"/>
    <w:rsid w:val="00A87D0E"/>
    <w:rsid w:val="00AA1808"/>
    <w:rsid w:val="00AA26AC"/>
    <w:rsid w:val="00AA2ED7"/>
    <w:rsid w:val="00AA3F80"/>
    <w:rsid w:val="00AB0370"/>
    <w:rsid w:val="00AB2903"/>
    <w:rsid w:val="00AB4714"/>
    <w:rsid w:val="00AC1332"/>
    <w:rsid w:val="00AC1D0E"/>
    <w:rsid w:val="00AD1305"/>
    <w:rsid w:val="00AD4790"/>
    <w:rsid w:val="00AD6FA4"/>
    <w:rsid w:val="00AD79AD"/>
    <w:rsid w:val="00AE6116"/>
    <w:rsid w:val="00AE7F72"/>
    <w:rsid w:val="00AF2372"/>
    <w:rsid w:val="00B00DD6"/>
    <w:rsid w:val="00B02A59"/>
    <w:rsid w:val="00B242CA"/>
    <w:rsid w:val="00B248D4"/>
    <w:rsid w:val="00B26172"/>
    <w:rsid w:val="00B34D07"/>
    <w:rsid w:val="00B37890"/>
    <w:rsid w:val="00B43403"/>
    <w:rsid w:val="00B464D3"/>
    <w:rsid w:val="00B46E98"/>
    <w:rsid w:val="00B5005D"/>
    <w:rsid w:val="00B60B3F"/>
    <w:rsid w:val="00B61378"/>
    <w:rsid w:val="00B63B55"/>
    <w:rsid w:val="00B6633F"/>
    <w:rsid w:val="00B75A1D"/>
    <w:rsid w:val="00B76573"/>
    <w:rsid w:val="00B77A30"/>
    <w:rsid w:val="00B803EB"/>
    <w:rsid w:val="00B859EF"/>
    <w:rsid w:val="00B875B9"/>
    <w:rsid w:val="00B972EE"/>
    <w:rsid w:val="00BA5B39"/>
    <w:rsid w:val="00BA68D9"/>
    <w:rsid w:val="00BB0ADD"/>
    <w:rsid w:val="00BC0C5A"/>
    <w:rsid w:val="00BE5AAC"/>
    <w:rsid w:val="00BE7117"/>
    <w:rsid w:val="00BE72EA"/>
    <w:rsid w:val="00BF0698"/>
    <w:rsid w:val="00BF2A68"/>
    <w:rsid w:val="00BF3A41"/>
    <w:rsid w:val="00BF745B"/>
    <w:rsid w:val="00C01BC9"/>
    <w:rsid w:val="00C044F7"/>
    <w:rsid w:val="00C05913"/>
    <w:rsid w:val="00C060EB"/>
    <w:rsid w:val="00C07208"/>
    <w:rsid w:val="00C0741B"/>
    <w:rsid w:val="00C12FBF"/>
    <w:rsid w:val="00C14D81"/>
    <w:rsid w:val="00C248F3"/>
    <w:rsid w:val="00C3433F"/>
    <w:rsid w:val="00C346DB"/>
    <w:rsid w:val="00C35221"/>
    <w:rsid w:val="00C36038"/>
    <w:rsid w:val="00C36604"/>
    <w:rsid w:val="00C4225E"/>
    <w:rsid w:val="00C43B12"/>
    <w:rsid w:val="00C4540F"/>
    <w:rsid w:val="00C56327"/>
    <w:rsid w:val="00C722AB"/>
    <w:rsid w:val="00C73FFF"/>
    <w:rsid w:val="00C767BA"/>
    <w:rsid w:val="00C76984"/>
    <w:rsid w:val="00C773A2"/>
    <w:rsid w:val="00C77DCD"/>
    <w:rsid w:val="00C80F8E"/>
    <w:rsid w:val="00C847EC"/>
    <w:rsid w:val="00C8506E"/>
    <w:rsid w:val="00C85BE5"/>
    <w:rsid w:val="00C869B6"/>
    <w:rsid w:val="00C92266"/>
    <w:rsid w:val="00C93183"/>
    <w:rsid w:val="00CA2CD6"/>
    <w:rsid w:val="00CB4457"/>
    <w:rsid w:val="00CC2745"/>
    <w:rsid w:val="00CC62E4"/>
    <w:rsid w:val="00CC7C47"/>
    <w:rsid w:val="00CD326F"/>
    <w:rsid w:val="00CD6854"/>
    <w:rsid w:val="00CE0A6B"/>
    <w:rsid w:val="00CE0D57"/>
    <w:rsid w:val="00CE135A"/>
    <w:rsid w:val="00CE492D"/>
    <w:rsid w:val="00CE512E"/>
    <w:rsid w:val="00CE578D"/>
    <w:rsid w:val="00CE6EB9"/>
    <w:rsid w:val="00CF3D06"/>
    <w:rsid w:val="00CF7A56"/>
    <w:rsid w:val="00D00539"/>
    <w:rsid w:val="00D03F1B"/>
    <w:rsid w:val="00D1676A"/>
    <w:rsid w:val="00D2026A"/>
    <w:rsid w:val="00D26F39"/>
    <w:rsid w:val="00D36749"/>
    <w:rsid w:val="00D3721E"/>
    <w:rsid w:val="00D37D91"/>
    <w:rsid w:val="00D4082F"/>
    <w:rsid w:val="00D434B9"/>
    <w:rsid w:val="00D44041"/>
    <w:rsid w:val="00D46F78"/>
    <w:rsid w:val="00D52078"/>
    <w:rsid w:val="00D52AA9"/>
    <w:rsid w:val="00D56FBC"/>
    <w:rsid w:val="00D659C0"/>
    <w:rsid w:val="00D67911"/>
    <w:rsid w:val="00D748A7"/>
    <w:rsid w:val="00D77BB5"/>
    <w:rsid w:val="00D842BF"/>
    <w:rsid w:val="00D94A5F"/>
    <w:rsid w:val="00DA149C"/>
    <w:rsid w:val="00DA4913"/>
    <w:rsid w:val="00DB303F"/>
    <w:rsid w:val="00DB31EF"/>
    <w:rsid w:val="00DB71FB"/>
    <w:rsid w:val="00DC6938"/>
    <w:rsid w:val="00DD2796"/>
    <w:rsid w:val="00DD6C6B"/>
    <w:rsid w:val="00DE1A4C"/>
    <w:rsid w:val="00DE4ABD"/>
    <w:rsid w:val="00DF13CB"/>
    <w:rsid w:val="00DF25CD"/>
    <w:rsid w:val="00DF31C7"/>
    <w:rsid w:val="00DF403C"/>
    <w:rsid w:val="00E0057C"/>
    <w:rsid w:val="00E04162"/>
    <w:rsid w:val="00E05378"/>
    <w:rsid w:val="00E06F0A"/>
    <w:rsid w:val="00E0729C"/>
    <w:rsid w:val="00E10B92"/>
    <w:rsid w:val="00E13409"/>
    <w:rsid w:val="00E205EB"/>
    <w:rsid w:val="00E21BB7"/>
    <w:rsid w:val="00E23E79"/>
    <w:rsid w:val="00E24D42"/>
    <w:rsid w:val="00E37054"/>
    <w:rsid w:val="00E446AB"/>
    <w:rsid w:val="00E46191"/>
    <w:rsid w:val="00E46637"/>
    <w:rsid w:val="00E5753B"/>
    <w:rsid w:val="00E6118A"/>
    <w:rsid w:val="00E66CFE"/>
    <w:rsid w:val="00E70E77"/>
    <w:rsid w:val="00E7207B"/>
    <w:rsid w:val="00E752D7"/>
    <w:rsid w:val="00E80003"/>
    <w:rsid w:val="00E83F00"/>
    <w:rsid w:val="00E92E70"/>
    <w:rsid w:val="00EA12EA"/>
    <w:rsid w:val="00EA52BC"/>
    <w:rsid w:val="00EA5B32"/>
    <w:rsid w:val="00EA60AA"/>
    <w:rsid w:val="00EB2F21"/>
    <w:rsid w:val="00EB6BA9"/>
    <w:rsid w:val="00EC0A8B"/>
    <w:rsid w:val="00EC31A4"/>
    <w:rsid w:val="00EC3801"/>
    <w:rsid w:val="00EC3A33"/>
    <w:rsid w:val="00EC43BE"/>
    <w:rsid w:val="00EC53AA"/>
    <w:rsid w:val="00ED4975"/>
    <w:rsid w:val="00ED5CA9"/>
    <w:rsid w:val="00EE2D60"/>
    <w:rsid w:val="00EE6D6A"/>
    <w:rsid w:val="00EF1760"/>
    <w:rsid w:val="00EF1A89"/>
    <w:rsid w:val="00EF43B4"/>
    <w:rsid w:val="00EF4E9B"/>
    <w:rsid w:val="00F00573"/>
    <w:rsid w:val="00F01F80"/>
    <w:rsid w:val="00F05086"/>
    <w:rsid w:val="00F055FC"/>
    <w:rsid w:val="00F06490"/>
    <w:rsid w:val="00F1184E"/>
    <w:rsid w:val="00F21609"/>
    <w:rsid w:val="00F35CFE"/>
    <w:rsid w:val="00F3605A"/>
    <w:rsid w:val="00F43602"/>
    <w:rsid w:val="00F50371"/>
    <w:rsid w:val="00F52DAD"/>
    <w:rsid w:val="00F57DBB"/>
    <w:rsid w:val="00F645B4"/>
    <w:rsid w:val="00F66EDE"/>
    <w:rsid w:val="00F7107E"/>
    <w:rsid w:val="00F835C1"/>
    <w:rsid w:val="00F84A89"/>
    <w:rsid w:val="00F85FC2"/>
    <w:rsid w:val="00F90ECD"/>
    <w:rsid w:val="00F95B7D"/>
    <w:rsid w:val="00FA129F"/>
    <w:rsid w:val="00FA1D41"/>
    <w:rsid w:val="00FA3AEF"/>
    <w:rsid w:val="00FA7584"/>
    <w:rsid w:val="00FB084C"/>
    <w:rsid w:val="00FB20FC"/>
    <w:rsid w:val="00FB2F76"/>
    <w:rsid w:val="00FB5338"/>
    <w:rsid w:val="00FB6B4B"/>
    <w:rsid w:val="00FC05CE"/>
    <w:rsid w:val="00FC0B7C"/>
    <w:rsid w:val="00FC42E7"/>
    <w:rsid w:val="00FD2C81"/>
    <w:rsid w:val="00FD5C40"/>
    <w:rsid w:val="00FE39F6"/>
    <w:rsid w:val="00FE68FE"/>
    <w:rsid w:val="00FF185D"/>
    <w:rsid w:val="00FF2664"/>
    <w:rsid w:val="00FF3A85"/>
    <w:rsid w:val="00FF5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ABA5A"/>
  <w15:chartTrackingRefBased/>
  <w15:docId w15:val="{25E56B37-78D8-4E25-AAF9-F0EC0FBBF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CDA"/>
    <w:pPr>
      <w:tabs>
        <w:tab w:val="center" w:pos="4680"/>
        <w:tab w:val="right" w:pos="9360"/>
      </w:tabs>
    </w:pPr>
  </w:style>
  <w:style w:type="character" w:customStyle="1" w:styleId="HeaderChar">
    <w:name w:val="Header Char"/>
    <w:basedOn w:val="DefaultParagraphFont"/>
    <w:link w:val="Header"/>
    <w:uiPriority w:val="99"/>
    <w:rsid w:val="00642CDA"/>
  </w:style>
  <w:style w:type="paragraph" w:styleId="Footer">
    <w:name w:val="footer"/>
    <w:basedOn w:val="Normal"/>
    <w:link w:val="FooterChar"/>
    <w:uiPriority w:val="99"/>
    <w:unhideWhenUsed/>
    <w:rsid w:val="00642CDA"/>
    <w:pPr>
      <w:tabs>
        <w:tab w:val="center" w:pos="4680"/>
        <w:tab w:val="right" w:pos="9360"/>
      </w:tabs>
    </w:pPr>
  </w:style>
  <w:style w:type="character" w:customStyle="1" w:styleId="FooterChar">
    <w:name w:val="Footer Char"/>
    <w:basedOn w:val="DefaultParagraphFont"/>
    <w:link w:val="Footer"/>
    <w:uiPriority w:val="99"/>
    <w:rsid w:val="00642CDA"/>
  </w:style>
  <w:style w:type="character" w:styleId="Hyperlink">
    <w:name w:val="Hyperlink"/>
    <w:basedOn w:val="DefaultParagraphFont"/>
    <w:uiPriority w:val="99"/>
    <w:unhideWhenUsed/>
    <w:rsid w:val="00C0741B"/>
    <w:rPr>
      <w:color w:val="0563C1" w:themeColor="hyperlink"/>
      <w:u w:val="single"/>
    </w:rPr>
  </w:style>
  <w:style w:type="character" w:styleId="UnresolvedMention">
    <w:name w:val="Unresolved Mention"/>
    <w:basedOn w:val="DefaultParagraphFont"/>
    <w:uiPriority w:val="99"/>
    <w:semiHidden/>
    <w:unhideWhenUsed/>
    <w:rsid w:val="00C0741B"/>
    <w:rPr>
      <w:color w:val="605E5C"/>
      <w:shd w:val="clear" w:color="auto" w:fill="E1DFDD"/>
    </w:rPr>
  </w:style>
  <w:style w:type="character" w:styleId="FollowedHyperlink">
    <w:name w:val="FollowedHyperlink"/>
    <w:basedOn w:val="DefaultParagraphFont"/>
    <w:uiPriority w:val="99"/>
    <w:semiHidden/>
    <w:unhideWhenUsed/>
    <w:rsid w:val="003D4CB2"/>
    <w:rPr>
      <w:color w:val="954F72" w:themeColor="followedHyperlink"/>
      <w:u w:val="single"/>
    </w:rPr>
  </w:style>
  <w:style w:type="paragraph" w:styleId="FootnoteText">
    <w:name w:val="footnote text"/>
    <w:basedOn w:val="Normal"/>
    <w:link w:val="FootnoteTextChar"/>
    <w:uiPriority w:val="99"/>
    <w:semiHidden/>
    <w:unhideWhenUsed/>
    <w:rsid w:val="000A242E"/>
    <w:rPr>
      <w:sz w:val="20"/>
      <w:szCs w:val="20"/>
    </w:rPr>
  </w:style>
  <w:style w:type="character" w:customStyle="1" w:styleId="FootnoteTextChar">
    <w:name w:val="Footnote Text Char"/>
    <w:basedOn w:val="DefaultParagraphFont"/>
    <w:link w:val="FootnoteText"/>
    <w:uiPriority w:val="99"/>
    <w:semiHidden/>
    <w:rsid w:val="000A242E"/>
    <w:rPr>
      <w:sz w:val="20"/>
      <w:szCs w:val="20"/>
    </w:rPr>
  </w:style>
  <w:style w:type="character" w:styleId="FootnoteReference">
    <w:name w:val="footnote reference"/>
    <w:basedOn w:val="DefaultParagraphFont"/>
    <w:uiPriority w:val="99"/>
    <w:semiHidden/>
    <w:unhideWhenUsed/>
    <w:rsid w:val="000A24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7109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bls.gov/bls/news-release/ecec.htm" TargetMode="External"/><Relationship Id="rId12" Type="http://schemas.openxmlformats.org/officeDocument/2006/relationships/image" Target="media/image6.png"/><Relationship Id="rId17" Type="http://schemas.openxmlformats.org/officeDocument/2006/relationships/hyperlink" Target="mailto:Gallo.Frank@DOL.gov" TargetMode="Externa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chart" Target="charts/chart1.xml"/></Relationships>
</file>

<file path=word/_rels/footnotes.xml.rels><?xml version="1.0" encoding="UTF-8" standalone="yes"?>
<Relationships xmlns="http://schemas.openxmlformats.org/package/2006/relationships"><Relationship Id="rId1" Type="http://schemas.openxmlformats.org/officeDocument/2006/relationships/hyperlink" Target="https://fraser.stlouisfed.org/title/monthly-labor-review-6130?browse=1980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sdol-my.sharepoint.com/personal/gallo_frank_dol_gov/Documents/Frank's%20H%20Drive/My%20Documents/Frank%20Gallo/Workforce%20stats/Earnings%20hourly%20and%20weekly%20CES%202006%20forw%202-13-24%20FG.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58"/>
          <c:order val="0"/>
          <c:tx>
            <c:v>Usual weekly full-time earnings </c:v>
          </c:tx>
          <c:spPr>
            <a:ln w="28575" cap="rnd">
              <a:solidFill>
                <a:schemeClr val="tx1"/>
              </a:solidFill>
              <a:round/>
            </a:ln>
            <a:effectLst/>
          </c:spPr>
          <c:marker>
            <c:symbol val="none"/>
          </c:marker>
          <c:dLbls>
            <c:dLbl>
              <c:idx val="6"/>
              <c:layout>
                <c:manualLayout>
                  <c:x val="-0.1"/>
                  <c:y val="2.31596360628618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F7F-4DA4-B847-B8570CBF5CD6}"/>
                </c:ext>
              </c:extLst>
            </c:dLbl>
            <c:dLbl>
              <c:idx val="14"/>
              <c:layout>
                <c:manualLayout>
                  <c:x val="-3.3333333333333333E-2"/>
                  <c:y val="4.96277915632754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F7F-4DA4-B847-B8570CBF5CD6}"/>
                </c:ext>
              </c:extLst>
            </c:dLbl>
            <c:dLbl>
              <c:idx val="29"/>
              <c:layout>
                <c:manualLayout>
                  <c:x val="-2.6666666666666748E-2"/>
                  <c:y val="4.30107526881720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F7F-4DA4-B847-B8570CBF5CD6}"/>
                </c:ext>
              </c:extLst>
            </c:dLbl>
            <c:dLbl>
              <c:idx val="35"/>
              <c:layout>
                <c:manualLayout>
                  <c:x val="-4.6666666666666669E-2"/>
                  <c:y val="-3.9702233250620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F7F-4DA4-B847-B8570CBF5CD6}"/>
                </c:ext>
              </c:extLst>
            </c:dLbl>
            <c:dLbl>
              <c:idx val="46"/>
              <c:layout>
                <c:manualLayout>
                  <c:x val="-0.04"/>
                  <c:y val="3.97022332506202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F7F-4DA4-B847-B8570CBF5CD6}"/>
                </c:ext>
              </c:extLst>
            </c:dLbl>
            <c:dLbl>
              <c:idx val="53"/>
              <c:layout>
                <c:manualLayout>
                  <c:x val="-4.4444444444444444E-3"/>
                  <c:y val="3.308519437551695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F7F-4DA4-B847-B8570CBF5CD6}"/>
                </c:ext>
              </c:extLst>
            </c:dLbl>
            <c:dLbl>
              <c:idx val="57"/>
              <c:layout>
                <c:manualLayout>
                  <c:x val="-6.6666666666666671E-3"/>
                  <c:y val="3.97022332506203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F7F-4DA4-B847-B8570CBF5CD6}"/>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rgbClr val="00B050"/>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'[Earnings hourly and weekly CES 2006 forw 2-13-24 FG.xlsx]CPS usu weekly'!$A$61:$A$119</c:f>
              <c:numCache>
                <c:formatCode>General</c:formatCode>
                <c:ptCount val="59"/>
                <c:pt idx="0">
                  <c:v>1967</c:v>
                </c:pt>
                <c:pt idx="1">
                  <c:v>1968</c:v>
                </c:pt>
                <c:pt idx="2">
                  <c:v>1969</c:v>
                </c:pt>
                <c:pt idx="3">
                  <c:v>1970</c:v>
                </c:pt>
                <c:pt idx="4">
                  <c:v>1971</c:v>
                </c:pt>
                <c:pt idx="5">
                  <c:v>1972</c:v>
                </c:pt>
                <c:pt idx="6">
                  <c:v>1973</c:v>
                </c:pt>
                <c:pt idx="7">
                  <c:v>1974</c:v>
                </c:pt>
                <c:pt idx="8">
                  <c:v>1975</c:v>
                </c:pt>
                <c:pt idx="9">
                  <c:v>1976</c:v>
                </c:pt>
                <c:pt idx="10">
                  <c:v>1977</c:v>
                </c:pt>
                <c:pt idx="11">
                  <c:v>1978</c:v>
                </c:pt>
                <c:pt idx="12">
                  <c:v>1979</c:v>
                </c:pt>
                <c:pt idx="13">
                  <c:v>1980</c:v>
                </c:pt>
                <c:pt idx="14">
                  <c:v>1981</c:v>
                </c:pt>
                <c:pt idx="15">
                  <c:v>1982</c:v>
                </c:pt>
                <c:pt idx="16">
                  <c:v>1983</c:v>
                </c:pt>
                <c:pt idx="17">
                  <c:v>1984</c:v>
                </c:pt>
                <c:pt idx="18">
                  <c:v>1985</c:v>
                </c:pt>
                <c:pt idx="19">
                  <c:v>1986</c:v>
                </c:pt>
                <c:pt idx="20">
                  <c:v>1987</c:v>
                </c:pt>
                <c:pt idx="21">
                  <c:v>1988</c:v>
                </c:pt>
                <c:pt idx="22">
                  <c:v>1989</c:v>
                </c:pt>
                <c:pt idx="23">
                  <c:v>1990</c:v>
                </c:pt>
                <c:pt idx="24">
                  <c:v>1991</c:v>
                </c:pt>
                <c:pt idx="25">
                  <c:v>1992</c:v>
                </c:pt>
                <c:pt idx="26">
                  <c:v>1993</c:v>
                </c:pt>
                <c:pt idx="27">
                  <c:v>1994</c:v>
                </c:pt>
                <c:pt idx="28">
                  <c:v>1995</c:v>
                </c:pt>
                <c:pt idx="29">
                  <c:v>1996</c:v>
                </c:pt>
                <c:pt idx="30">
                  <c:v>1997</c:v>
                </c:pt>
                <c:pt idx="31">
                  <c:v>1998</c:v>
                </c:pt>
                <c:pt idx="32">
                  <c:v>1999</c:v>
                </c:pt>
                <c:pt idx="33">
                  <c:v>2000</c:v>
                </c:pt>
                <c:pt idx="34">
                  <c:v>2001</c:v>
                </c:pt>
                <c:pt idx="35">
                  <c:v>2002</c:v>
                </c:pt>
                <c:pt idx="36">
                  <c:v>2003</c:v>
                </c:pt>
                <c:pt idx="37">
                  <c:v>2004</c:v>
                </c:pt>
                <c:pt idx="38">
                  <c:v>2005</c:v>
                </c:pt>
                <c:pt idx="39">
                  <c:v>2006</c:v>
                </c:pt>
                <c:pt idx="40">
                  <c:v>2007</c:v>
                </c:pt>
                <c:pt idx="41">
                  <c:v>2008</c:v>
                </c:pt>
                <c:pt idx="42">
                  <c:v>2009</c:v>
                </c:pt>
                <c:pt idx="43">
                  <c:v>2010</c:v>
                </c:pt>
                <c:pt idx="44">
                  <c:v>2011</c:v>
                </c:pt>
                <c:pt idx="45">
                  <c:v>2012</c:v>
                </c:pt>
                <c:pt idx="46">
                  <c:v>2013</c:v>
                </c:pt>
                <c:pt idx="47">
                  <c:v>2014</c:v>
                </c:pt>
                <c:pt idx="48">
                  <c:v>2015</c:v>
                </c:pt>
                <c:pt idx="49">
                  <c:v>2016</c:v>
                </c:pt>
                <c:pt idx="50">
                  <c:v>2017</c:v>
                </c:pt>
                <c:pt idx="51">
                  <c:v>2018</c:v>
                </c:pt>
                <c:pt idx="52">
                  <c:v>2019</c:v>
                </c:pt>
                <c:pt idx="53">
                  <c:v>2020</c:v>
                </c:pt>
                <c:pt idx="54">
                  <c:v>2021</c:v>
                </c:pt>
                <c:pt idx="55">
                  <c:v>2022</c:v>
                </c:pt>
                <c:pt idx="56">
                  <c:v>2023</c:v>
                </c:pt>
                <c:pt idx="57">
                  <c:v>2024</c:v>
                </c:pt>
                <c:pt idx="58">
                  <c:v>2025</c:v>
                </c:pt>
              </c:numCache>
            </c:numRef>
          </c:cat>
          <c:val>
            <c:numRef>
              <c:f>'[Earnings hourly and weekly CES 2006 forw 2-13-24 FG.xlsx]CPS usu weekly'!$D$61:$D$119</c:f>
              <c:numCache>
                <c:formatCode>General</c:formatCode>
                <c:ptCount val="59"/>
                <c:pt idx="0" formatCode="#,##0">
                  <c:v>1022.2013473053894</c:v>
                </c:pt>
                <c:pt idx="2" formatCode="#,##0">
                  <c:v>1032.7036784741144</c:v>
                </c:pt>
                <c:pt idx="3" formatCode="#,##0">
                  <c:v>1049.4652061855672</c:v>
                </c:pt>
                <c:pt idx="4" formatCode="#,##0">
                  <c:v>1067.2851851851854</c:v>
                </c:pt>
                <c:pt idx="5" formatCode="#,##0">
                  <c:v>1079.0526315789475</c:v>
                </c:pt>
                <c:pt idx="6" formatCode="#,##0">
                  <c:v>1121.6841216216217</c:v>
                </c:pt>
                <c:pt idx="7" formatCode="#,##0">
                  <c:v>1073.7327586206898</c:v>
                </c:pt>
                <c:pt idx="8" formatCode="#,##0">
                  <c:v>1077.0748141263941</c:v>
                </c:pt>
                <c:pt idx="9" formatCode="#,##0">
                  <c:v>1084.4521089630932</c:v>
                </c:pt>
                <c:pt idx="10" formatCode="#,##0">
                  <c:v>1095.7706270627064</c:v>
                </c:pt>
                <c:pt idx="11" formatCode="#,##0">
                  <c:v>1090.5226226993864</c:v>
                </c:pt>
                <c:pt idx="12" formatCode="#,##0">
                  <c:v>1039.7689393939397</c:v>
                </c:pt>
                <c:pt idx="13" formatCode="#,##0">
                  <c:v>995.93385922330106</c:v>
                </c:pt>
                <c:pt idx="14" formatCode="#,##0">
                  <c:v>978.61276127612769</c:v>
                </c:pt>
                <c:pt idx="15" formatCode="#,##0">
                  <c:v>980.24818652849751</c:v>
                </c:pt>
                <c:pt idx="16" formatCode="#,##0">
                  <c:v>984.33157630522112</c:v>
                </c:pt>
                <c:pt idx="17" formatCode="#,##0">
                  <c:v>982.78488931665061</c:v>
                </c:pt>
                <c:pt idx="18" formatCode="#,##0">
                  <c:v>1001.3884758364314</c:v>
                </c:pt>
                <c:pt idx="19" formatCode="#,##0">
                  <c:v>1025.9833485401462</c:v>
                </c:pt>
                <c:pt idx="20" formatCode="#,##0">
                  <c:v>1031.2161091549297</c:v>
                </c:pt>
                <c:pt idx="21" formatCode="#,##0">
                  <c:v>1019.371301775148</c:v>
                </c:pt>
                <c:pt idx="22" formatCode="#,##0">
                  <c:v>1007.8772177419356</c:v>
                </c:pt>
                <c:pt idx="23" formatCode="#,##0">
                  <c:v>987.3657230298395</c:v>
                </c:pt>
                <c:pt idx="24" formatCode="#,##0">
                  <c:v>979.69052863436139</c:v>
                </c:pt>
                <c:pt idx="25" formatCode="#,##0">
                  <c:v>982.31646471846045</c:v>
                </c:pt>
                <c:pt idx="26" formatCode="#,##0">
                  <c:v>994.95000000000016</c:v>
                </c:pt>
                <c:pt idx="27" formatCode="#,##0">
                  <c:v>987.01804993252381</c:v>
                </c:pt>
                <c:pt idx="28" formatCode="#,##0">
                  <c:v>984.4801509186351</c:v>
                </c:pt>
                <c:pt idx="29" formatCode="#,##0">
                  <c:v>978.20427023581897</c:v>
                </c:pt>
                <c:pt idx="30" formatCode="#,##0">
                  <c:v>981.63348909657327</c:v>
                </c:pt>
                <c:pt idx="31" formatCode="#,##0">
                  <c:v>1005.0102760736197</c:v>
                </c:pt>
                <c:pt idx="32" formatCode="#,##0">
                  <c:v>1032.1760204081634</c:v>
                </c:pt>
                <c:pt idx="33" formatCode="#,##0">
                  <c:v>1047.7212543554008</c:v>
                </c:pt>
                <c:pt idx="34" formatCode="#,##0">
                  <c:v>1054.1055900621118</c:v>
                </c:pt>
                <c:pt idx="35" formatCode="#,##0">
                  <c:v>1058.5925514174542</c:v>
                </c:pt>
                <c:pt idx="36" formatCode="#,##0">
                  <c:v>1055.4320652173913</c:v>
                </c:pt>
                <c:pt idx="37" formatCode="#,##0">
                  <c:v>1057.9012705134992</c:v>
                </c:pt>
                <c:pt idx="38" formatCode="#,##0">
                  <c:v>1044.0833333333333</c:v>
                </c:pt>
                <c:pt idx="39" formatCode="#,##0">
                  <c:v>1042.5296378968255</c:v>
                </c:pt>
                <c:pt idx="40" formatCode="#,##0">
                  <c:v>1049.9145132197048</c:v>
                </c:pt>
                <c:pt idx="41" formatCode="#,##0">
                  <c:v>1050.3729627548155</c:v>
                </c:pt>
                <c:pt idx="42" formatCode="#,##0">
                  <c:v>1078.9433757347217</c:v>
                </c:pt>
                <c:pt idx="43" formatCode="#,##0">
                  <c:v>1073.0228702718568</c:v>
                </c:pt>
                <c:pt idx="44" formatCode="#,##0">
                  <c:v>1052.7214044696564</c:v>
                </c:pt>
                <c:pt idx="45" formatCode="#,##0">
                  <c:v>1047.7486345461991</c:v>
                </c:pt>
                <c:pt idx="46" formatCode="#,##0">
                  <c:v>1043.3796795116698</c:v>
                </c:pt>
                <c:pt idx="47" formatCode="#,##0">
                  <c:v>1046.5707581440931</c:v>
                </c:pt>
                <c:pt idx="48" formatCode="#,##0">
                  <c:v>1069.1175105583145</c:v>
                </c:pt>
                <c:pt idx="49" formatCode="#,##0">
                  <c:v>1085.8149970625857</c:v>
                </c:pt>
                <c:pt idx="50" formatCode="#,##0">
                  <c:v>1098.9454144908616</c:v>
                </c:pt>
                <c:pt idx="51" formatCode="#,##0">
                  <c:v>1105.1756820797509</c:v>
                </c:pt>
                <c:pt idx="52" formatCode="#,##0">
                  <c:v>1123.4870353637882</c:v>
                </c:pt>
                <c:pt idx="53" formatCode="#,##0">
                  <c:v>1190.8821495222385</c:v>
                </c:pt>
                <c:pt idx="54" formatCode="#,##0">
                  <c:v>1153.6278923866112</c:v>
                </c:pt>
                <c:pt idx="55" formatCode="#,##0">
                  <c:v>1133.4345047923325</c:v>
                </c:pt>
                <c:pt idx="56" formatCode="#,##0">
                  <c:v>1148.2442681702123</c:v>
                </c:pt>
                <c:pt idx="57" formatCode="#,##0">
                  <c:v>1136</c:v>
                </c:pt>
              </c:numCache>
            </c:numRef>
          </c:val>
          <c:smooth val="0"/>
          <c:extLst>
            <c:ext xmlns:c16="http://schemas.microsoft.com/office/drawing/2014/chart" uri="{C3380CC4-5D6E-409C-BE32-E72D297353CC}">
              <c16:uniqueId val="{00000007-1F7F-4DA4-B847-B8570CBF5CD6}"/>
            </c:ext>
          </c:extLst>
        </c:ser>
        <c:dLbls>
          <c:showLegendKey val="0"/>
          <c:showVal val="0"/>
          <c:showCatName val="0"/>
          <c:showSerName val="0"/>
          <c:showPercent val="0"/>
          <c:showBubbleSize val="0"/>
        </c:dLbls>
        <c:smooth val="0"/>
        <c:axId val="1072313408"/>
        <c:axId val="1072313888"/>
      </c:lineChart>
      <c:catAx>
        <c:axId val="1072313408"/>
        <c:scaling>
          <c:orientation val="minMax"/>
        </c:scaling>
        <c:delete val="0"/>
        <c:axPos val="b"/>
        <c:numFmt formatCode="General" sourceLinked="1"/>
        <c:majorTickMark val="in"/>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1072313888"/>
        <c:crosses val="autoZero"/>
        <c:auto val="1"/>
        <c:lblAlgn val="ctr"/>
        <c:lblOffset val="100"/>
        <c:noMultiLvlLbl val="0"/>
      </c:catAx>
      <c:valAx>
        <c:axId val="1072313888"/>
        <c:scaling>
          <c:orientation val="minMax"/>
          <c:max val="1200"/>
          <c:min val="900"/>
        </c:scaling>
        <c:delete val="0"/>
        <c:axPos val="l"/>
        <c:majorGridlines>
          <c:spPr>
            <a:ln w="9525" cap="flat" cmpd="sng" algn="ctr">
              <a:solidFill>
                <a:srgbClr val="0070C0"/>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500" b="1">
                    <a:solidFill>
                      <a:srgbClr val="005392"/>
                    </a:solidFill>
                  </a:rPr>
                  <a:t>Usual </a:t>
                </a:r>
                <a:r>
                  <a:rPr lang="en-US" sz="1500" b="1">
                    <a:solidFill>
                      <a:srgbClr val="00B050"/>
                    </a:solidFill>
                  </a:rPr>
                  <a:t>full-time median</a:t>
                </a:r>
                <a:r>
                  <a:rPr lang="en-US" sz="1500" b="1" baseline="0">
                    <a:solidFill>
                      <a:srgbClr val="00B050"/>
                    </a:solidFill>
                  </a:rPr>
                  <a:t> weekly </a:t>
                </a:r>
                <a:r>
                  <a:rPr lang="en-US" sz="1500" b="1">
                    <a:solidFill>
                      <a:srgbClr val="005392"/>
                    </a:solidFill>
                  </a:rPr>
                  <a:t>earnings (2024 $)</a:t>
                </a:r>
              </a:p>
            </c:rich>
          </c:tx>
          <c:layout>
            <c:manualLayout>
              <c:xMode val="edge"/>
              <c:yMode val="edge"/>
              <c:x val="1.5555555555555555E-2"/>
              <c:y val="6.0948398819874572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1072313408"/>
        <c:crossesAt val="1"/>
        <c:crossBetween val="midCat"/>
      </c:valAx>
      <c:spPr>
        <a:noFill/>
        <a:ln>
          <a:noFill/>
        </a:ln>
        <a:effectLst/>
      </c:spPr>
    </c:plotArea>
    <c:plotVisOnly val="1"/>
    <c:dispBlanksAs val="span"/>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0.17667</cdr:x>
      <cdr:y>0.72953</cdr:y>
    </cdr:from>
    <cdr:to>
      <cdr:x>0.99833</cdr:x>
      <cdr:y>0.87593</cdr:y>
    </cdr:to>
    <cdr:sp macro="" textlink="">
      <cdr:nvSpPr>
        <cdr:cNvPr id="2" name="TextBox 1">
          <a:extLst xmlns:a="http://schemas.openxmlformats.org/drawingml/2006/main">
            <a:ext uri="{FF2B5EF4-FFF2-40B4-BE49-F238E27FC236}">
              <a16:creationId xmlns:a16="http://schemas.microsoft.com/office/drawing/2014/main" id="{9E7483BD-DCE0-A39C-FF61-A612B036DB68}"/>
            </a:ext>
          </a:extLst>
        </cdr:cNvPr>
        <cdr:cNvSpPr txBox="1"/>
      </cdr:nvSpPr>
      <cdr:spPr>
        <a:xfrm xmlns:a="http://schemas.openxmlformats.org/drawingml/2006/main">
          <a:off x="1009650" y="2800351"/>
          <a:ext cx="4695825" cy="5619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b="1">
              <a:solidFill>
                <a:srgbClr val="7030A0"/>
              </a:solidFill>
            </a:rPr>
            <a:t>Note that recessions tend to temporarily,</a:t>
          </a:r>
          <a:r>
            <a:rPr lang="en-US" sz="1400" b="1" baseline="0">
              <a:solidFill>
                <a:srgbClr val="7030A0"/>
              </a:solidFill>
            </a:rPr>
            <a:t> artificially raise earnings, because low earners are more prone to be laid off.</a:t>
          </a:r>
          <a:endParaRPr lang="en-US" sz="1400" b="1">
            <a:solidFill>
              <a:srgbClr val="7030A0"/>
            </a:solidFill>
          </a:endParaRPr>
        </a:p>
      </cdr:txBody>
    </cdr:sp>
  </cdr:relSizeAnchor>
  <cdr:relSizeAnchor xmlns:cdr="http://schemas.openxmlformats.org/drawingml/2006/chartDrawing">
    <cdr:from>
      <cdr:x>0.17333</cdr:x>
      <cdr:y>0.00248</cdr:y>
    </cdr:from>
    <cdr:to>
      <cdr:x>0.95</cdr:x>
      <cdr:y>0.36476</cdr:y>
    </cdr:to>
    <cdr:sp macro="" textlink="">
      <cdr:nvSpPr>
        <cdr:cNvPr id="3" name="TextBox 2">
          <a:extLst xmlns:a="http://schemas.openxmlformats.org/drawingml/2006/main">
            <a:ext uri="{FF2B5EF4-FFF2-40B4-BE49-F238E27FC236}">
              <a16:creationId xmlns:a16="http://schemas.microsoft.com/office/drawing/2014/main" id="{00058B05-3F89-AC94-807A-E6D28085B714}"/>
            </a:ext>
          </a:extLst>
        </cdr:cNvPr>
        <cdr:cNvSpPr txBox="1"/>
      </cdr:nvSpPr>
      <cdr:spPr>
        <a:xfrm xmlns:a="http://schemas.openxmlformats.org/drawingml/2006/main">
          <a:off x="990600" y="9526"/>
          <a:ext cx="4438649" cy="1390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600" b="1">
              <a:solidFill>
                <a:srgbClr val="7030A0"/>
              </a:solidFill>
            </a:rPr>
            <a:t>This series (full-timers only) also shows inflation-adjusted decline and stagnation from the early 1970s through the late 1990s, before resuming</a:t>
          </a:r>
          <a:r>
            <a:rPr lang="en-US" sz="1600" b="1" baseline="0">
              <a:solidFill>
                <a:srgbClr val="7030A0"/>
              </a:solidFill>
            </a:rPr>
            <a:t> sharp  growth until the recent high-inflation 	period.</a:t>
          </a:r>
          <a:endParaRPr lang="en-US" sz="1600" b="1">
            <a:solidFill>
              <a:srgbClr val="7030A0"/>
            </a:solidFil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3500</Words>
  <Characters>19953</Characters>
  <Application>Microsoft Office Word</Application>
  <DocSecurity>4</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Gallo, Frank - ETA</dc:creator>
  <cp:keywords/>
  <dc:description/>
  <cp:lastModifiedBy>Theis, Teresa J - ETA</cp:lastModifiedBy>
  <cp:revision>2</cp:revision>
  <dcterms:created xsi:type="dcterms:W3CDTF">2024-11-30T01:48:00Z</dcterms:created>
  <dcterms:modified xsi:type="dcterms:W3CDTF">2024-11-30T01:48:00Z</dcterms:modified>
</cp:coreProperties>
</file>