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72AB8D" w14:textId="1D63BA9B" w:rsidR="00205D53" w:rsidRPr="00101A5F" w:rsidRDefault="00101A5F" w:rsidP="00101A5F">
      <w:pPr>
        <w:jc w:val="center"/>
        <w:rPr>
          <w:b/>
          <w:bCs/>
          <w:sz w:val="24"/>
          <w:szCs w:val="24"/>
          <w:u w:val="single"/>
        </w:rPr>
      </w:pPr>
      <w:r w:rsidRPr="00101A5F">
        <w:rPr>
          <w:b/>
          <w:bCs/>
          <w:sz w:val="24"/>
          <w:szCs w:val="24"/>
          <w:u w:val="single"/>
        </w:rPr>
        <w:t>IPUMS vs MDAT – The</w:t>
      </w:r>
      <w:r>
        <w:rPr>
          <w:b/>
          <w:bCs/>
          <w:sz w:val="24"/>
          <w:szCs w:val="24"/>
          <w:u w:val="single"/>
        </w:rPr>
        <w:t>ir</w:t>
      </w:r>
      <w:r w:rsidRPr="00101A5F">
        <w:rPr>
          <w:b/>
          <w:bCs/>
          <w:sz w:val="24"/>
          <w:szCs w:val="24"/>
          <w:u w:val="single"/>
        </w:rPr>
        <w:t xml:space="preserve"> Differences and the Value of Using Both for CPS Data</w:t>
      </w:r>
      <w:r>
        <w:rPr>
          <w:b/>
          <w:bCs/>
          <w:sz w:val="24"/>
          <w:szCs w:val="24"/>
          <w:u w:val="single"/>
        </w:rPr>
        <w:t xml:space="preserve"> Analysis</w:t>
      </w:r>
    </w:p>
    <w:p w14:paraId="14621538" w14:textId="50D5CEDF" w:rsidR="00101A5F" w:rsidRPr="00101A5F" w:rsidRDefault="00101A5F">
      <w:pPr>
        <w:rPr>
          <w:b/>
          <w:bCs/>
          <w:u w:val="single"/>
        </w:rPr>
      </w:pPr>
      <w:r w:rsidRPr="00101A5F">
        <w:rPr>
          <w:b/>
          <w:bCs/>
          <w:u w:val="single"/>
        </w:rPr>
        <w:t>IPUMS</w:t>
      </w:r>
    </w:p>
    <w:p w14:paraId="171D190C" w14:textId="5F415748" w:rsidR="00101A5F" w:rsidRPr="00101A5F" w:rsidRDefault="00101A5F" w:rsidP="00101A5F">
      <w:r w:rsidRPr="00101A5F">
        <w:t xml:space="preserve">IPUMS has done something revolutionary to make CPS data available in an easy way that researchers can work with microdata.  </w:t>
      </w:r>
      <w:r>
        <w:t>BLS has</w:t>
      </w:r>
      <w:r w:rsidRPr="00101A5F">
        <w:t xml:space="preserve"> for a</w:t>
      </w:r>
      <w:r>
        <w:t xml:space="preserve"> </w:t>
      </w:r>
      <w:r w:rsidRPr="00101A5F">
        <w:t xml:space="preserve">while made the CPS Annual Social and Economic Supplement data available from 1962 forward (meaning, in practice, 1961 forward, as the data cover the prior year).  </w:t>
      </w:r>
    </w:p>
    <w:p w14:paraId="601CB5F4" w14:textId="53DF9D6A" w:rsidR="00101A5F" w:rsidRPr="00101A5F" w:rsidRDefault="00101A5F" w:rsidP="00101A5F">
      <w:r w:rsidRPr="00101A5F">
        <w:t xml:space="preserve">But now the data </w:t>
      </w:r>
      <w:r>
        <w:t xml:space="preserve">is </w:t>
      </w:r>
      <w:r w:rsidRPr="00101A5F">
        <w:t xml:space="preserve">available from many CPS supplements (albeit not all) back to 1976.  The following link shows what CPS supplements they have in their system:  </w:t>
      </w:r>
      <w:hyperlink r:id="rId4" w:history="1">
        <w:r w:rsidRPr="00101A5F">
          <w:rPr>
            <w:rStyle w:val="Hyperlink"/>
          </w:rPr>
          <w:t>https://cps.ipums.</w:t>
        </w:r>
        <w:r w:rsidRPr="00101A5F">
          <w:rPr>
            <w:rStyle w:val="Hyperlink"/>
          </w:rPr>
          <w:t>org/rotation_pattern_explorer#/</w:t>
        </w:r>
      </w:hyperlink>
      <w:r w:rsidRPr="00101A5F">
        <w:t xml:space="preserve"> </w:t>
      </w:r>
    </w:p>
    <w:p w14:paraId="07C59F28" w14:textId="77777777" w:rsidR="00101A5F" w:rsidRDefault="00101A5F" w:rsidP="00101A5F">
      <w:r w:rsidRPr="00101A5F">
        <w:t xml:space="preserve">In addition, it looks like one can also analyze annual data combining the 12 monthly CPS questions, again back to 1976.  </w:t>
      </w:r>
    </w:p>
    <w:p w14:paraId="7AE99DA8" w14:textId="77777777" w:rsidR="00101A5F" w:rsidRDefault="00101A5F" w:rsidP="00101A5F">
      <w:r w:rsidRPr="00101A5F">
        <w:t xml:space="preserve">IPUMS is making the variables consistent over time (e.g., industry categories).  </w:t>
      </w:r>
    </w:p>
    <w:p w14:paraId="14C95471" w14:textId="182C2B12" w:rsidR="00101A5F" w:rsidRPr="00101A5F" w:rsidRDefault="00101A5F" w:rsidP="00101A5F">
      <w:r w:rsidRPr="00101A5F">
        <w:t>One has to register with IPUMS, but that is neither difficult nor time-consuming, and their system fills in most of the required fields if one works with multiple IPUMS data sets.  The</w:t>
      </w:r>
      <w:r>
        <w:t xml:space="preserve"> Bureau</w:t>
      </w:r>
      <w:r w:rsidRPr="00101A5F">
        <w:t xml:space="preserve"> also help</w:t>
      </w:r>
      <w:r>
        <w:t>s</w:t>
      </w:r>
      <w:r w:rsidRPr="00101A5F">
        <w:t xml:space="preserve"> people who are stumped</w:t>
      </w:r>
      <w:r>
        <w:t>, offering</w:t>
      </w:r>
      <w:r w:rsidRPr="00101A5F">
        <w:t xml:space="preserve"> regular hours to ask questions.  </w:t>
      </w:r>
    </w:p>
    <w:p w14:paraId="204A49A2" w14:textId="1CF194E4" w:rsidR="00101A5F" w:rsidRPr="00101A5F" w:rsidRDefault="00101A5F" w:rsidP="00101A5F">
      <w:pPr>
        <w:rPr>
          <w:b/>
          <w:bCs/>
          <w:u w:val="single"/>
        </w:rPr>
      </w:pPr>
      <w:r w:rsidRPr="00101A5F">
        <w:rPr>
          <w:b/>
          <w:bCs/>
          <w:u w:val="single"/>
        </w:rPr>
        <w:t>MDAT</w:t>
      </w:r>
    </w:p>
    <w:p w14:paraId="5A322F7D" w14:textId="5E967DA2" w:rsidR="00101A5F" w:rsidRPr="00101A5F" w:rsidRDefault="00101A5F" w:rsidP="00101A5F">
      <w:r w:rsidRPr="00101A5F">
        <w:t xml:space="preserve">MDAT data generally begin with 1994, and </w:t>
      </w:r>
      <w:r>
        <w:t>do not</w:t>
      </w:r>
      <w:r w:rsidRPr="00101A5F">
        <w:t xml:space="preserve"> include any ability to analyze the 12 monthly samples of the CPS by combining them into a single annual file.  MDAT includes some CPS supplements that aren’t covered by IPUMS, but MDAT doesn’t cover all of them either, so I think it’s likely that between IPUMS and MDAT, we now have better coverage of the CPS supplements available from 2000 forward (MDAT’s coverage of the CPS supplements doesn’t go very far back in time at all – typically nothing before 2000).  </w:t>
      </w:r>
    </w:p>
    <w:p w14:paraId="193C9D95" w14:textId="7877055E" w:rsidR="00101A5F" w:rsidRPr="00101A5F" w:rsidRDefault="00101A5F" w:rsidP="00101A5F">
      <w:r>
        <w:t>W</w:t>
      </w:r>
      <w:r w:rsidRPr="00101A5F">
        <w:t>ith MDAT</w:t>
      </w:r>
      <w:r>
        <w:t>,</w:t>
      </w:r>
      <w:r w:rsidRPr="00101A5F">
        <w:t xml:space="preserve"> the Bureau treats variables as identical over time that are in fact quite different, and therefore</w:t>
      </w:r>
      <w:r>
        <w:t>,</w:t>
      </w:r>
      <w:r w:rsidRPr="00101A5F">
        <w:t xml:space="preserve"> they likely cause researchers to make misjudgments.  </w:t>
      </w:r>
    </w:p>
    <w:p w14:paraId="0DACBFD1" w14:textId="6A2C4FDF" w:rsidR="00101A5F" w:rsidRPr="00101A5F" w:rsidRDefault="00101A5F" w:rsidP="00101A5F">
      <w:pPr>
        <w:rPr>
          <w:b/>
          <w:bCs/>
          <w:u w:val="single"/>
        </w:rPr>
      </w:pPr>
      <w:r>
        <w:rPr>
          <w:b/>
          <w:bCs/>
          <w:u w:val="single"/>
        </w:rPr>
        <w:t xml:space="preserve">The Value of </w:t>
      </w:r>
      <w:r w:rsidRPr="00101A5F">
        <w:rPr>
          <w:b/>
          <w:bCs/>
          <w:u w:val="single"/>
        </w:rPr>
        <w:t>Using Both</w:t>
      </w:r>
    </w:p>
    <w:p w14:paraId="5E6A89C5" w14:textId="77777777" w:rsidR="00101A5F" w:rsidRDefault="00101A5F" w:rsidP="00101A5F">
      <w:r w:rsidRPr="00101A5F">
        <w:t xml:space="preserve">Together, MDAT and IPUMS have done wonderful work in allowing people to analyze decennial census data (from 1850), ACS data (from 2001), and CPS data, making it unnecessary to have </w:t>
      </w:r>
      <w:r w:rsidRPr="00101A5F">
        <w:rPr>
          <w:b/>
          <w:bCs/>
          <w:i/>
          <w:iCs/>
        </w:rPr>
        <w:t>any</w:t>
      </w:r>
      <w:r w:rsidRPr="00101A5F">
        <w:t xml:space="preserve"> specialized software (like SAS or SPSS), or to clean up the data and supply the proper weights</w:t>
      </w:r>
      <w:r>
        <w:t xml:space="preserve">.  </w:t>
      </w:r>
    </w:p>
    <w:p w14:paraId="473973D1" w14:textId="41010005" w:rsidR="00101A5F" w:rsidRDefault="00101A5F" w:rsidP="00101A5F">
      <w:r>
        <w:t>T</w:t>
      </w:r>
      <w:r w:rsidRPr="00101A5F">
        <w:t>he work required by anyone even with specialized statistical software need</w:t>
      </w:r>
      <w:r>
        <w:t xml:space="preserve"> </w:t>
      </w:r>
      <w:r w:rsidRPr="00101A5F">
        <w:t>n</w:t>
      </w:r>
      <w:r>
        <w:t>o</w:t>
      </w:r>
      <w:r w:rsidRPr="00101A5F">
        <w:t>t be done</w:t>
      </w:r>
      <w:r>
        <w:t xml:space="preserve"> now</w:t>
      </w:r>
      <w:r w:rsidRPr="00101A5F">
        <w:t>.  This has allowed individual researchers to mine BLS and Census Bureau data (and IPUMS includes a lot of other data, such as American Time Use Survey and National Health Interview Survey data)</w:t>
      </w:r>
      <w:r>
        <w:t>,</w:t>
      </w:r>
      <w:r w:rsidRPr="00101A5F">
        <w:t xml:space="preserve"> to conduct </w:t>
      </w:r>
      <w:r w:rsidRPr="00101A5F">
        <w:rPr>
          <w:b/>
          <w:bCs/>
          <w:i/>
          <w:iCs/>
        </w:rPr>
        <w:t>original research</w:t>
      </w:r>
      <w:r w:rsidRPr="00101A5F">
        <w:t xml:space="preserve"> and reap</w:t>
      </w:r>
      <w:r>
        <w:t xml:space="preserve"> valuable</w:t>
      </w:r>
      <w:r w:rsidRPr="00101A5F">
        <w:t xml:space="preserve"> insights unavailable from published data.  </w:t>
      </w:r>
    </w:p>
    <w:p w14:paraId="339CC0C0" w14:textId="29F13957" w:rsidR="001A4179" w:rsidRPr="00101A5F" w:rsidRDefault="001A4179" w:rsidP="00101A5F">
      <w:r>
        <w:t>FG 11-20-24</w:t>
      </w:r>
    </w:p>
    <w:p w14:paraId="2C71F78B" w14:textId="77777777" w:rsidR="00101A5F" w:rsidRDefault="00101A5F"/>
    <w:sectPr w:rsidR="00101A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A5F"/>
    <w:rsid w:val="00100F26"/>
    <w:rsid w:val="00101A5F"/>
    <w:rsid w:val="001A4179"/>
    <w:rsid w:val="00205D53"/>
    <w:rsid w:val="00737D2A"/>
    <w:rsid w:val="00D34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9B8C7"/>
  <w15:chartTrackingRefBased/>
  <w15:docId w15:val="{21555E7B-D110-4F3E-B521-ECADC3642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A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1A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1A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1A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1A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1A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1A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1A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1A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1A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1A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1A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1A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1A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1A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1A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1A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1A5F"/>
    <w:rPr>
      <w:rFonts w:eastAsiaTheme="majorEastAsia" w:cstheme="majorBidi"/>
      <w:color w:val="272727" w:themeColor="text1" w:themeTint="D8"/>
    </w:rPr>
  </w:style>
  <w:style w:type="paragraph" w:styleId="Title">
    <w:name w:val="Title"/>
    <w:basedOn w:val="Normal"/>
    <w:next w:val="Normal"/>
    <w:link w:val="TitleChar"/>
    <w:uiPriority w:val="10"/>
    <w:qFormat/>
    <w:rsid w:val="00101A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1A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1A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1A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1A5F"/>
    <w:pPr>
      <w:spacing w:before="160"/>
      <w:jc w:val="center"/>
    </w:pPr>
    <w:rPr>
      <w:i/>
      <w:iCs/>
      <w:color w:val="404040" w:themeColor="text1" w:themeTint="BF"/>
    </w:rPr>
  </w:style>
  <w:style w:type="character" w:customStyle="1" w:styleId="QuoteChar">
    <w:name w:val="Quote Char"/>
    <w:basedOn w:val="DefaultParagraphFont"/>
    <w:link w:val="Quote"/>
    <w:uiPriority w:val="29"/>
    <w:rsid w:val="00101A5F"/>
    <w:rPr>
      <w:i/>
      <w:iCs/>
      <w:color w:val="404040" w:themeColor="text1" w:themeTint="BF"/>
    </w:rPr>
  </w:style>
  <w:style w:type="paragraph" w:styleId="ListParagraph">
    <w:name w:val="List Paragraph"/>
    <w:basedOn w:val="Normal"/>
    <w:uiPriority w:val="34"/>
    <w:qFormat/>
    <w:rsid w:val="00101A5F"/>
    <w:pPr>
      <w:ind w:left="720"/>
      <w:contextualSpacing/>
    </w:pPr>
  </w:style>
  <w:style w:type="character" w:styleId="IntenseEmphasis">
    <w:name w:val="Intense Emphasis"/>
    <w:basedOn w:val="DefaultParagraphFont"/>
    <w:uiPriority w:val="21"/>
    <w:qFormat/>
    <w:rsid w:val="00101A5F"/>
    <w:rPr>
      <w:i/>
      <w:iCs/>
      <w:color w:val="0F4761" w:themeColor="accent1" w:themeShade="BF"/>
    </w:rPr>
  </w:style>
  <w:style w:type="paragraph" w:styleId="IntenseQuote">
    <w:name w:val="Intense Quote"/>
    <w:basedOn w:val="Normal"/>
    <w:next w:val="Normal"/>
    <w:link w:val="IntenseQuoteChar"/>
    <w:uiPriority w:val="30"/>
    <w:qFormat/>
    <w:rsid w:val="00101A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1A5F"/>
    <w:rPr>
      <w:i/>
      <w:iCs/>
      <w:color w:val="0F4761" w:themeColor="accent1" w:themeShade="BF"/>
    </w:rPr>
  </w:style>
  <w:style w:type="character" w:styleId="IntenseReference">
    <w:name w:val="Intense Reference"/>
    <w:basedOn w:val="DefaultParagraphFont"/>
    <w:uiPriority w:val="32"/>
    <w:qFormat/>
    <w:rsid w:val="00101A5F"/>
    <w:rPr>
      <w:b/>
      <w:bCs/>
      <w:smallCaps/>
      <w:color w:val="0F4761" w:themeColor="accent1" w:themeShade="BF"/>
      <w:spacing w:val="5"/>
    </w:rPr>
  </w:style>
  <w:style w:type="character" w:styleId="Hyperlink">
    <w:name w:val="Hyperlink"/>
    <w:basedOn w:val="DefaultParagraphFont"/>
    <w:uiPriority w:val="99"/>
    <w:unhideWhenUsed/>
    <w:rsid w:val="00101A5F"/>
    <w:rPr>
      <w:color w:val="467886" w:themeColor="hyperlink"/>
      <w:u w:val="single"/>
    </w:rPr>
  </w:style>
  <w:style w:type="character" w:styleId="UnresolvedMention">
    <w:name w:val="Unresolved Mention"/>
    <w:basedOn w:val="DefaultParagraphFont"/>
    <w:uiPriority w:val="99"/>
    <w:semiHidden/>
    <w:unhideWhenUsed/>
    <w:rsid w:val="00101A5F"/>
    <w:rPr>
      <w:color w:val="605E5C"/>
      <w:shd w:val="clear" w:color="auto" w:fill="E1DFDD"/>
    </w:rPr>
  </w:style>
  <w:style w:type="character" w:styleId="FollowedHyperlink">
    <w:name w:val="FollowedHyperlink"/>
    <w:basedOn w:val="DefaultParagraphFont"/>
    <w:uiPriority w:val="99"/>
    <w:semiHidden/>
    <w:unhideWhenUsed/>
    <w:rsid w:val="00101A5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315879">
      <w:bodyDiv w:val="1"/>
      <w:marLeft w:val="0"/>
      <w:marRight w:val="0"/>
      <w:marTop w:val="0"/>
      <w:marBottom w:val="0"/>
      <w:divBdr>
        <w:top w:val="none" w:sz="0" w:space="0" w:color="auto"/>
        <w:left w:val="none" w:sz="0" w:space="0" w:color="auto"/>
        <w:bottom w:val="none" w:sz="0" w:space="0" w:color="auto"/>
        <w:right w:val="none" w:sz="0" w:space="0" w:color="auto"/>
      </w:divBdr>
    </w:div>
    <w:div w:id="1332948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gcc02.safelinks.protection.outlook.com/?url=https%3A%2F%2Fcps.ipums.org%2Frotation_pattern_explorer%23%2F&amp;data=05%7C02%7CTheis.teresa.J%40dol.gov%7Cdca53e557c07420cd09308dd09884f78%7C75a6305472044e0c9126adab971d4aca%7C0%7C0%7C638677203239243481%7CUnknown%7CTWFpbGZsb3d8eyJFbXB0eU1hcGkiOnRydWUsIlYiOiIwLjAuMDAwMCIsIlAiOiJXaW4zMiIsIkFOIjoiTWFpbCIsIldUIjoyfQ%3D%3D%7C0%7C%7C%7C&amp;sdata=536XH6hKdd%2BfkacO7jWeir2udrvUr%2Fwamw4RkRClaks%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436</Words>
  <Characters>2491</Characters>
  <Application>Microsoft Office Word</Application>
  <DocSecurity>0</DocSecurity>
  <Lines>20</Lines>
  <Paragraphs>5</Paragraphs>
  <ScaleCrop>false</ScaleCrop>
  <Company>U.S. Department of Labor</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Theis, Teresa J - ETA</dc:creator>
  <cp:keywords/>
  <dc:description/>
  <cp:lastModifiedBy>Theis, Teresa J - ETA</cp:lastModifiedBy>
  <cp:revision>2</cp:revision>
  <dcterms:created xsi:type="dcterms:W3CDTF">2024-12-26T17:08:00Z</dcterms:created>
  <dcterms:modified xsi:type="dcterms:W3CDTF">2024-12-26T17:17:00Z</dcterms:modified>
</cp:coreProperties>
</file>