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968E06" w14:textId="5D9D0FD1" w:rsidR="00D00539" w:rsidRPr="001B42A1" w:rsidRDefault="00631194" w:rsidP="00631194">
      <w:pPr>
        <w:jc w:val="center"/>
        <w:rPr>
          <w:b/>
          <w:bCs/>
          <w:color w:val="FF0000"/>
        </w:rPr>
      </w:pPr>
      <w:r w:rsidRPr="001B42A1">
        <w:rPr>
          <w:b/>
          <w:bCs/>
          <w:color w:val="FF0000"/>
        </w:rPr>
        <w:t>LONG-TERM CONSUMER SPENDING PATTERNS</w:t>
      </w:r>
    </w:p>
    <w:p w14:paraId="13B44F6D" w14:textId="77777777" w:rsidR="008E60F4" w:rsidRDefault="008E60F4"/>
    <w:p w14:paraId="5DECCCE5" w14:textId="216D628E" w:rsidR="008E60F4" w:rsidRDefault="008E60F4" w:rsidP="008E60F4">
      <w:pPr>
        <w:rPr>
          <w:rFonts w:ascii="Calibri" w:eastAsia="Aptos" w:hAnsi="Calibri" w:cs="Calibri"/>
        </w:rPr>
      </w:pPr>
      <w:r w:rsidRPr="008E60F4">
        <w:rPr>
          <w:rFonts w:ascii="Calibri" w:eastAsia="Aptos" w:hAnsi="Calibri" w:cs="Calibri"/>
        </w:rPr>
        <w:t xml:space="preserve">Because consumer spending is the primary engine that drives economic growth and employment, including employment patterns, it is worth understanding.  The major trends are shown in two charts below, in which I have </w:t>
      </w:r>
      <w:proofErr w:type="gramStart"/>
      <w:r w:rsidRPr="008E60F4">
        <w:rPr>
          <w:rFonts w:ascii="Calibri" w:eastAsia="Aptos" w:hAnsi="Calibri" w:cs="Calibri"/>
        </w:rPr>
        <w:t>made adjustments to</w:t>
      </w:r>
      <w:proofErr w:type="gramEnd"/>
      <w:r w:rsidRPr="008E60F4">
        <w:rPr>
          <w:rFonts w:ascii="Calibri" w:eastAsia="Aptos" w:hAnsi="Calibri" w:cs="Calibri"/>
        </w:rPr>
        <w:t xml:space="preserve"> keep the categories consistent (in 1972 BLS included all vacation expenses in the recreation category, whereas </w:t>
      </w:r>
      <w:r w:rsidR="00AB6E8F">
        <w:rPr>
          <w:rFonts w:ascii="Calibri" w:eastAsia="Aptos" w:hAnsi="Calibri" w:cs="Calibri"/>
        </w:rPr>
        <w:t xml:space="preserve">in </w:t>
      </w:r>
      <w:r w:rsidRPr="008E60F4">
        <w:rPr>
          <w:rFonts w:ascii="Calibri" w:eastAsia="Aptos" w:hAnsi="Calibri" w:cs="Calibri"/>
        </w:rPr>
        <w:t xml:space="preserve">other years </w:t>
      </w:r>
      <w:r w:rsidR="00AB6E8F">
        <w:rPr>
          <w:rFonts w:ascii="Calibri" w:eastAsia="Aptos" w:hAnsi="Calibri" w:cs="Calibri"/>
        </w:rPr>
        <w:t xml:space="preserve">the agency </w:t>
      </w:r>
      <w:r w:rsidRPr="008E60F4">
        <w:rPr>
          <w:rFonts w:ascii="Calibri" w:eastAsia="Aptos" w:hAnsi="Calibri" w:cs="Calibri"/>
        </w:rPr>
        <w:t>assigned vacation lodging, food, transportation etc. costs to these other categories).  The underlying data and sources are attached above (at the bottom of the data rows, spending by African Americans is shown for selected earlier years – I still haven’t finished these analyses).</w:t>
      </w:r>
    </w:p>
    <w:p w14:paraId="6CF0BB5B" w14:textId="77777777" w:rsidR="00AA3B43" w:rsidRDefault="00AA3B43" w:rsidP="008E60F4">
      <w:pPr>
        <w:rPr>
          <w:rFonts w:ascii="Calibri" w:eastAsia="Aptos" w:hAnsi="Calibri" w:cs="Calibri"/>
        </w:rPr>
      </w:pPr>
    </w:p>
    <w:p w14:paraId="2F332FA8" w14:textId="34D0D7E9" w:rsidR="00AA3B43" w:rsidRPr="008E60F4" w:rsidRDefault="00AA3B43" w:rsidP="008E60F4">
      <w:pPr>
        <w:rPr>
          <w:rFonts w:ascii="Calibri" w:eastAsia="Aptos" w:hAnsi="Calibri" w:cs="Calibri"/>
        </w:rPr>
      </w:pPr>
      <w:r>
        <w:rPr>
          <w:rFonts w:ascii="Calibri" w:eastAsia="Aptos" w:hAnsi="Calibri" w:cs="Calibri"/>
        </w:rPr>
        <w:t xml:space="preserve">The source for all these data </w:t>
      </w:r>
      <w:r w:rsidR="00164784">
        <w:rPr>
          <w:rFonts w:ascii="Calibri" w:eastAsia="Aptos" w:hAnsi="Calibri" w:cs="Calibri"/>
        </w:rPr>
        <w:t>is</w:t>
      </w:r>
      <w:r>
        <w:rPr>
          <w:rFonts w:ascii="Calibri" w:eastAsia="Aptos" w:hAnsi="Calibri" w:cs="Calibri"/>
        </w:rPr>
        <w:t xml:space="preserve"> the </w:t>
      </w:r>
      <w:r w:rsidR="00DD7DE9">
        <w:rPr>
          <w:rFonts w:ascii="Calibri" w:eastAsia="Aptos" w:hAnsi="Calibri" w:cs="Calibri"/>
        </w:rPr>
        <w:t>U.S. Bureau of Labor Statistics (BLS) Consumer Expenditure Surveys, conducted each year from 198</w:t>
      </w:r>
      <w:r w:rsidR="00F974A9">
        <w:rPr>
          <w:rFonts w:ascii="Calibri" w:eastAsia="Aptos" w:hAnsi="Calibri" w:cs="Calibri"/>
        </w:rPr>
        <w:t>0 (except for 1983)</w:t>
      </w:r>
      <w:r w:rsidR="00164784">
        <w:rPr>
          <w:rFonts w:ascii="Calibri" w:eastAsia="Aptos" w:hAnsi="Calibri" w:cs="Calibri"/>
        </w:rPr>
        <w:t xml:space="preserve"> forward</w:t>
      </w:r>
      <w:r w:rsidR="00DD7DE9">
        <w:rPr>
          <w:rFonts w:ascii="Calibri" w:eastAsia="Aptos" w:hAnsi="Calibri" w:cs="Calibri"/>
        </w:rPr>
        <w:t xml:space="preserve">, and much less frequently before </w:t>
      </w:r>
      <w:r w:rsidR="00AC636A">
        <w:rPr>
          <w:rFonts w:ascii="Calibri" w:eastAsia="Aptos" w:hAnsi="Calibri" w:cs="Calibri"/>
        </w:rPr>
        <w:t xml:space="preserve">that </w:t>
      </w:r>
      <w:r w:rsidR="00F974A9">
        <w:rPr>
          <w:rFonts w:ascii="Calibri" w:eastAsia="Aptos" w:hAnsi="Calibri" w:cs="Calibri"/>
        </w:rPr>
        <w:t>– only about once each decade</w:t>
      </w:r>
      <w:r w:rsidR="00387D5D">
        <w:rPr>
          <w:rFonts w:ascii="Calibri" w:eastAsia="Aptos" w:hAnsi="Calibri" w:cs="Calibri"/>
        </w:rPr>
        <w:t xml:space="preserve"> </w:t>
      </w:r>
      <w:r w:rsidR="005E39DA">
        <w:rPr>
          <w:rFonts w:ascii="Calibri" w:eastAsia="Aptos" w:hAnsi="Calibri" w:cs="Calibri"/>
        </w:rPr>
        <w:t xml:space="preserve">between </w:t>
      </w:r>
      <w:r w:rsidR="00387D5D">
        <w:rPr>
          <w:rFonts w:ascii="Calibri" w:eastAsia="Aptos" w:hAnsi="Calibri" w:cs="Calibri"/>
        </w:rPr>
        <w:t>World War I</w:t>
      </w:r>
      <w:r w:rsidR="005E39DA">
        <w:rPr>
          <w:rFonts w:ascii="Calibri" w:eastAsia="Aptos" w:hAnsi="Calibri" w:cs="Calibri"/>
        </w:rPr>
        <w:t xml:space="preserve"> and 1980</w:t>
      </w:r>
      <w:r w:rsidR="00F974A9">
        <w:rPr>
          <w:rFonts w:ascii="Calibri" w:eastAsia="Aptos" w:hAnsi="Calibri" w:cs="Calibri"/>
        </w:rPr>
        <w:t xml:space="preserve">, </w:t>
      </w:r>
      <w:r w:rsidR="003E0E07">
        <w:rPr>
          <w:rFonts w:ascii="Calibri" w:eastAsia="Aptos" w:hAnsi="Calibri" w:cs="Calibri"/>
        </w:rPr>
        <w:t xml:space="preserve">except for several years during World War II.  </w:t>
      </w:r>
    </w:p>
    <w:p w14:paraId="607D5B09" w14:textId="77777777" w:rsidR="008E60F4" w:rsidRPr="008E60F4" w:rsidRDefault="008E60F4" w:rsidP="008E60F4">
      <w:pPr>
        <w:rPr>
          <w:rFonts w:ascii="Calibri" w:eastAsia="Aptos" w:hAnsi="Calibri" w:cs="Calibri"/>
        </w:rPr>
      </w:pPr>
    </w:p>
    <w:p w14:paraId="441A4D0C" w14:textId="5FA60AB3" w:rsidR="008E60F4" w:rsidRPr="008E60F4" w:rsidRDefault="008E60F4" w:rsidP="008E60F4">
      <w:pPr>
        <w:rPr>
          <w:rFonts w:ascii="Calibri" w:eastAsia="Aptos" w:hAnsi="Calibri" w:cs="Calibri"/>
        </w:rPr>
      </w:pPr>
      <w:r w:rsidRPr="008E60F4">
        <w:rPr>
          <w:rFonts w:ascii="Calibri" w:eastAsia="Aptos" w:hAnsi="Calibri" w:cs="Calibri"/>
          <w:b/>
          <w:bCs/>
          <w:color w:val="00B050"/>
        </w:rPr>
        <w:t>Important background</w:t>
      </w:r>
      <w:r w:rsidRPr="008E60F4">
        <w:rPr>
          <w:rFonts w:ascii="Calibri" w:eastAsia="Aptos" w:hAnsi="Calibri" w:cs="Calibri"/>
          <w:b/>
          <w:bCs/>
        </w:rPr>
        <w:t>.</w:t>
      </w:r>
      <w:r w:rsidRPr="008E60F4">
        <w:rPr>
          <w:rFonts w:ascii="Calibri" w:eastAsia="Aptos" w:hAnsi="Calibri" w:cs="Calibri"/>
        </w:rPr>
        <w:t xml:space="preserve">  Two important contextual points should be kept in mind.  First, consumer expenditures do not include governmental expenditures:  governments spend a huge amount of money on education, healthcare, and transportation that would otherwise be borne by consumers.  This explains why, for example, consumer education and healthcare spending are </w:t>
      </w:r>
      <w:r w:rsidR="005F14D8">
        <w:rPr>
          <w:rFonts w:ascii="Calibri" w:eastAsia="Aptos" w:hAnsi="Calibri" w:cs="Calibri"/>
        </w:rPr>
        <w:t>less</w:t>
      </w:r>
      <w:r w:rsidRPr="008E60F4">
        <w:rPr>
          <w:rFonts w:ascii="Calibri" w:eastAsia="Aptos" w:hAnsi="Calibri" w:cs="Calibri"/>
        </w:rPr>
        <w:t xml:space="preserve"> than might be expected.  </w:t>
      </w:r>
    </w:p>
    <w:p w14:paraId="400AAAF6" w14:textId="77777777" w:rsidR="008E60F4" w:rsidRPr="008E60F4" w:rsidRDefault="008E60F4" w:rsidP="008E60F4">
      <w:pPr>
        <w:rPr>
          <w:rFonts w:ascii="Calibri" w:eastAsia="Aptos" w:hAnsi="Calibri" w:cs="Calibri"/>
        </w:rPr>
      </w:pPr>
    </w:p>
    <w:p w14:paraId="744D84E4" w14:textId="1189C18A" w:rsidR="008E60F4" w:rsidRPr="008E60F4" w:rsidRDefault="008E60F4" w:rsidP="008E60F4">
      <w:pPr>
        <w:rPr>
          <w:rFonts w:ascii="Calibri" w:eastAsia="Aptos" w:hAnsi="Calibri" w:cs="Calibri"/>
        </w:rPr>
      </w:pPr>
      <w:r w:rsidRPr="008E60F4">
        <w:rPr>
          <w:rFonts w:ascii="Calibri" w:eastAsia="Aptos" w:hAnsi="Calibri" w:cs="Calibri"/>
        </w:rPr>
        <w:t xml:space="preserve">Second, the national income and product accounts (including GDP) are an alternative source of consumer spending data.  Unlike the periodic consumer expenditure surveys through the 1970s reported here, consumer spending from the national accounts </w:t>
      </w:r>
      <w:r w:rsidR="007D3159">
        <w:rPr>
          <w:rFonts w:ascii="Calibri" w:eastAsia="Aptos" w:hAnsi="Calibri" w:cs="Calibri"/>
        </w:rPr>
        <w:t>is</w:t>
      </w:r>
      <w:r w:rsidRPr="008E60F4">
        <w:rPr>
          <w:rFonts w:ascii="Calibri" w:eastAsia="Aptos" w:hAnsi="Calibri" w:cs="Calibri"/>
        </w:rPr>
        <w:t xml:space="preserve"> available annually – officially from the U.S. Bureau of Economic Analysis from 1929 forward, and in widely-accepted academic data that begin with 1900.  These data rely upon overall consumer spending and derive from different sources than the consumer expenditure surveys.  The consumer surveys retain independent value because they provide demographic and other information not available from the national account</w:t>
      </w:r>
      <w:r w:rsidR="007D3159">
        <w:rPr>
          <w:rFonts w:ascii="Calibri" w:eastAsia="Aptos" w:hAnsi="Calibri" w:cs="Calibri"/>
        </w:rPr>
        <w:t>s</w:t>
      </w:r>
      <w:r w:rsidRPr="008E60F4">
        <w:rPr>
          <w:rFonts w:ascii="Calibri" w:eastAsia="Aptos" w:hAnsi="Calibri" w:cs="Calibri"/>
        </w:rPr>
        <w:t xml:space="preserve"> data.  </w:t>
      </w:r>
    </w:p>
    <w:p w14:paraId="5CF023C0" w14:textId="77777777" w:rsidR="008E60F4" w:rsidRPr="008E60F4" w:rsidRDefault="008E60F4" w:rsidP="008E60F4">
      <w:pPr>
        <w:rPr>
          <w:rFonts w:ascii="Calibri" w:eastAsia="Aptos" w:hAnsi="Calibri" w:cs="Calibri"/>
        </w:rPr>
      </w:pPr>
    </w:p>
    <w:p w14:paraId="03985F96" w14:textId="2CF6DCEC" w:rsidR="008E60F4" w:rsidRPr="008E60F4" w:rsidRDefault="00B06959" w:rsidP="008E60F4">
      <w:pPr>
        <w:rPr>
          <w:rFonts w:ascii="Calibri" w:eastAsia="Aptos" w:hAnsi="Calibri" w:cs="Calibri"/>
        </w:rPr>
      </w:pPr>
      <w:r>
        <w:rPr>
          <w:rFonts w:ascii="Calibri" w:eastAsia="Aptos" w:hAnsi="Calibri" w:cs="Calibri"/>
          <w:b/>
          <w:bCs/>
          <w:color w:val="00B050"/>
        </w:rPr>
        <w:t>Long-term trends</w:t>
      </w:r>
      <w:r w:rsidR="008E60F4" w:rsidRPr="008E60F4">
        <w:rPr>
          <w:rFonts w:ascii="Calibri" w:eastAsia="Aptos" w:hAnsi="Calibri" w:cs="Calibri"/>
          <w:b/>
          <w:bCs/>
        </w:rPr>
        <w:t>.</w:t>
      </w:r>
      <w:r w:rsidR="008E60F4" w:rsidRPr="008E60F4">
        <w:rPr>
          <w:rFonts w:ascii="Calibri" w:eastAsia="Aptos" w:hAnsi="Calibri" w:cs="Calibri"/>
        </w:rPr>
        <w:t xml:space="preserve">  Several key long-term </w:t>
      </w:r>
      <w:r>
        <w:rPr>
          <w:rFonts w:ascii="Calibri" w:eastAsia="Aptos" w:hAnsi="Calibri" w:cs="Calibri"/>
        </w:rPr>
        <w:t>patterns</w:t>
      </w:r>
      <w:r w:rsidR="008E60F4" w:rsidRPr="008E60F4">
        <w:rPr>
          <w:rFonts w:ascii="Calibri" w:eastAsia="Aptos" w:hAnsi="Calibri" w:cs="Calibri"/>
        </w:rPr>
        <w:t xml:space="preserve"> are clear. </w:t>
      </w:r>
    </w:p>
    <w:p w14:paraId="0797A103" w14:textId="77777777" w:rsidR="008E60F4" w:rsidRPr="008E60F4" w:rsidRDefault="008E60F4" w:rsidP="008E60F4">
      <w:pPr>
        <w:rPr>
          <w:rFonts w:ascii="Calibri" w:eastAsia="Aptos" w:hAnsi="Calibri" w:cs="Calibri"/>
        </w:rPr>
      </w:pPr>
    </w:p>
    <w:p w14:paraId="5F08A74F" w14:textId="328C3AD3" w:rsidR="008E60F4" w:rsidRPr="008E60F4" w:rsidRDefault="008E60F4" w:rsidP="008E60F4">
      <w:pPr>
        <w:numPr>
          <w:ilvl w:val="0"/>
          <w:numId w:val="1"/>
        </w:numPr>
        <w:spacing w:line="252" w:lineRule="auto"/>
        <w:rPr>
          <w:rFonts w:ascii="Calibri" w:eastAsia="Times New Roman" w:hAnsi="Calibri" w:cs="Calibri"/>
        </w:rPr>
      </w:pPr>
      <w:r w:rsidRPr="008E60F4">
        <w:rPr>
          <w:rFonts w:ascii="Calibri" w:eastAsia="Times New Roman" w:hAnsi="Calibri" w:cs="Calibri"/>
        </w:rPr>
        <w:t>Food dominated consumer spending throughout history until the 20</w:t>
      </w:r>
      <w:r w:rsidRPr="008E60F4">
        <w:rPr>
          <w:rFonts w:ascii="Calibri" w:eastAsia="Times New Roman" w:hAnsi="Calibri" w:cs="Calibri"/>
          <w:vertAlign w:val="superscript"/>
        </w:rPr>
        <w:t>th</w:t>
      </w:r>
      <w:r w:rsidRPr="008E60F4">
        <w:rPr>
          <w:rFonts w:ascii="Calibri" w:eastAsia="Times New Roman" w:hAnsi="Calibri" w:cs="Calibri"/>
        </w:rPr>
        <w:t xml:space="preserve"> century, but now accounts for only about 13 percent of U.S. spending.  </w:t>
      </w:r>
    </w:p>
    <w:p w14:paraId="6A077CE1" w14:textId="77777777" w:rsidR="008E60F4" w:rsidRPr="008E60F4" w:rsidRDefault="008E60F4" w:rsidP="008E60F4">
      <w:pPr>
        <w:numPr>
          <w:ilvl w:val="0"/>
          <w:numId w:val="1"/>
        </w:numPr>
        <w:spacing w:line="252" w:lineRule="auto"/>
        <w:rPr>
          <w:rFonts w:ascii="Calibri" w:eastAsia="Times New Roman" w:hAnsi="Calibri" w:cs="Calibri"/>
        </w:rPr>
      </w:pPr>
      <w:r w:rsidRPr="008E60F4">
        <w:rPr>
          <w:rFonts w:ascii="Calibri" w:eastAsia="Times New Roman" w:hAnsi="Calibri" w:cs="Calibri"/>
        </w:rPr>
        <w:t xml:space="preserve">In 1900 and earlier, food and clothing constituted more than half of consumer spending, but only 15 percent now. </w:t>
      </w:r>
    </w:p>
    <w:p w14:paraId="3C4EB541" w14:textId="77777777" w:rsidR="008E60F4" w:rsidRPr="008E60F4" w:rsidRDefault="008E60F4" w:rsidP="008E60F4">
      <w:pPr>
        <w:numPr>
          <w:ilvl w:val="0"/>
          <w:numId w:val="1"/>
        </w:numPr>
        <w:spacing w:line="252" w:lineRule="auto"/>
        <w:rPr>
          <w:rFonts w:ascii="Calibri" w:eastAsia="Times New Roman" w:hAnsi="Calibri" w:cs="Calibri"/>
        </w:rPr>
      </w:pPr>
      <w:r w:rsidRPr="008E60F4">
        <w:rPr>
          <w:rFonts w:ascii="Calibri" w:eastAsia="Times New Roman" w:hAnsi="Calibri" w:cs="Calibri"/>
        </w:rPr>
        <w:t xml:space="preserve">For many spending categories, the degree of change slowed considerably from the 1980s forward, and has stabilized for some types of spending.  </w:t>
      </w:r>
    </w:p>
    <w:p w14:paraId="328C5F92" w14:textId="77777777" w:rsidR="008E60F4" w:rsidRPr="008E60F4" w:rsidRDefault="008E60F4" w:rsidP="008E60F4">
      <w:pPr>
        <w:numPr>
          <w:ilvl w:val="0"/>
          <w:numId w:val="1"/>
        </w:numPr>
        <w:spacing w:line="252" w:lineRule="auto"/>
        <w:rPr>
          <w:rFonts w:ascii="Calibri" w:eastAsia="Times New Roman" w:hAnsi="Calibri" w:cs="Calibri"/>
        </w:rPr>
      </w:pPr>
      <w:r w:rsidRPr="008E60F4">
        <w:rPr>
          <w:rFonts w:ascii="Calibri" w:eastAsia="Times New Roman" w:hAnsi="Calibri" w:cs="Calibri"/>
        </w:rPr>
        <w:t xml:space="preserve">Housing and related spending – including utilities, household operations, and furnishings/equipment – now dominates consumer spending in a way that food once did.  Some of this spending is discretionary, especially that involving furnishings and equipment, and therefore the total amount should not be regarded as spending for necessities. </w:t>
      </w:r>
    </w:p>
    <w:p w14:paraId="4E3B3F87" w14:textId="77777777" w:rsidR="008E60F4" w:rsidRPr="008E60F4" w:rsidRDefault="008E60F4" w:rsidP="008E60F4">
      <w:pPr>
        <w:numPr>
          <w:ilvl w:val="0"/>
          <w:numId w:val="1"/>
        </w:numPr>
        <w:spacing w:line="252" w:lineRule="auto"/>
        <w:rPr>
          <w:rFonts w:ascii="Calibri" w:eastAsia="Times New Roman" w:hAnsi="Calibri" w:cs="Calibri"/>
        </w:rPr>
      </w:pPr>
      <w:r w:rsidRPr="008E60F4">
        <w:rPr>
          <w:rFonts w:ascii="Calibri" w:eastAsia="Times New Roman" w:hAnsi="Calibri" w:cs="Calibri"/>
        </w:rPr>
        <w:t xml:space="preserve">Consumer transportation spending peaked in the 1970s, and it is probably not coincidental that the peak occurred just before the first international oil embargo that began to significantly increase energy prices.  In the past decade, transportation spending has stabilized at about 16-17 percent of the total. </w:t>
      </w:r>
    </w:p>
    <w:p w14:paraId="5200EF90" w14:textId="77777777" w:rsidR="008E60F4" w:rsidRPr="008E60F4" w:rsidRDefault="008E60F4" w:rsidP="008E60F4">
      <w:pPr>
        <w:numPr>
          <w:ilvl w:val="0"/>
          <w:numId w:val="1"/>
        </w:numPr>
        <w:spacing w:line="252" w:lineRule="auto"/>
        <w:rPr>
          <w:rFonts w:ascii="Calibri" w:eastAsia="Times New Roman" w:hAnsi="Calibri" w:cs="Calibri"/>
        </w:rPr>
      </w:pPr>
      <w:r w:rsidRPr="008E60F4">
        <w:rPr>
          <w:rFonts w:ascii="Calibri" w:eastAsia="Times New Roman" w:hAnsi="Calibri" w:cs="Calibri"/>
        </w:rPr>
        <w:t>Consumer healthcare spending has especially risen during this century, rising from 5.4 to about 8 percent (where it has essentially remained since 2014) – following relative stability at about 5 percent throughout the 20</w:t>
      </w:r>
      <w:r w:rsidRPr="008E60F4">
        <w:rPr>
          <w:rFonts w:ascii="Calibri" w:eastAsia="Times New Roman" w:hAnsi="Calibri" w:cs="Calibri"/>
          <w:vertAlign w:val="superscript"/>
        </w:rPr>
        <w:t>th</w:t>
      </w:r>
      <w:r w:rsidRPr="008E60F4">
        <w:rPr>
          <w:rFonts w:ascii="Calibri" w:eastAsia="Times New Roman" w:hAnsi="Calibri" w:cs="Calibri"/>
        </w:rPr>
        <w:t xml:space="preserve"> century.  </w:t>
      </w:r>
    </w:p>
    <w:p w14:paraId="08F35922" w14:textId="1B655311" w:rsidR="008E60F4" w:rsidRPr="008E60F4" w:rsidRDefault="008E60F4" w:rsidP="008E60F4">
      <w:pPr>
        <w:numPr>
          <w:ilvl w:val="0"/>
          <w:numId w:val="1"/>
        </w:numPr>
        <w:spacing w:line="252" w:lineRule="auto"/>
        <w:rPr>
          <w:rFonts w:ascii="Calibri" w:eastAsia="Times New Roman" w:hAnsi="Calibri" w:cs="Calibri"/>
        </w:rPr>
      </w:pPr>
      <w:r w:rsidRPr="008E60F4">
        <w:rPr>
          <w:rFonts w:ascii="Calibri" w:eastAsia="Times New Roman" w:hAnsi="Calibri" w:cs="Calibri"/>
        </w:rPr>
        <w:t xml:space="preserve">The second chart below tracks some purchases that have always remained relatively minor.  The most significant increase has been in entertainment and recreation, which rose more or less steady until the 1980s.  Thereafter it has been the most volatile of all the spending categories, but has tended to fluctuate around the 5 percent level since the mid-1980s (ranging from 4.7 to 5.6 percent), with no consistent trend.  </w:t>
      </w:r>
    </w:p>
    <w:p w14:paraId="7AAF1D74" w14:textId="77777777" w:rsidR="008E60F4" w:rsidRPr="008E60F4" w:rsidRDefault="008E60F4" w:rsidP="008E60F4">
      <w:pPr>
        <w:numPr>
          <w:ilvl w:val="0"/>
          <w:numId w:val="1"/>
        </w:numPr>
        <w:spacing w:line="252" w:lineRule="auto"/>
        <w:rPr>
          <w:rFonts w:ascii="Calibri" w:eastAsia="Times New Roman" w:hAnsi="Calibri" w:cs="Calibri"/>
        </w:rPr>
      </w:pPr>
      <w:r w:rsidRPr="008E60F4">
        <w:rPr>
          <w:rFonts w:ascii="Calibri" w:eastAsia="Times New Roman" w:hAnsi="Calibri" w:cs="Calibri"/>
        </w:rPr>
        <w:t>Alcohol and tobacco spending peaked in the mid-20</w:t>
      </w:r>
      <w:r w:rsidRPr="008E60F4">
        <w:rPr>
          <w:rFonts w:ascii="Calibri" w:eastAsia="Times New Roman" w:hAnsi="Calibri" w:cs="Calibri"/>
          <w:vertAlign w:val="superscript"/>
        </w:rPr>
        <w:t>th</w:t>
      </w:r>
      <w:r w:rsidRPr="008E60F4">
        <w:rPr>
          <w:rFonts w:ascii="Calibri" w:eastAsia="Times New Roman" w:hAnsi="Calibri" w:cs="Calibri"/>
        </w:rPr>
        <w:t xml:space="preserve"> century, and then declined.  Spending for alcohol has roughly stabilized at about one percent of the total from the late 1980s forward, although since the beginning of the pandemic the proportion has been at a low point of .8 percent.  The decline in tobacco spending slowed considerably after 2004, but still continued to drop until its low point of .5 percent since 2019.  </w:t>
      </w:r>
    </w:p>
    <w:p w14:paraId="2B09DC82" w14:textId="10C3B09B" w:rsidR="008E60F4" w:rsidRPr="008E60F4" w:rsidRDefault="008E60F4" w:rsidP="008E60F4">
      <w:pPr>
        <w:numPr>
          <w:ilvl w:val="0"/>
          <w:numId w:val="1"/>
        </w:numPr>
        <w:spacing w:line="252" w:lineRule="auto"/>
        <w:rPr>
          <w:rFonts w:ascii="Calibri" w:eastAsia="Times New Roman" w:hAnsi="Calibri" w:cs="Calibri"/>
        </w:rPr>
      </w:pPr>
      <w:r w:rsidRPr="008E60F4">
        <w:rPr>
          <w:rFonts w:ascii="Calibri" w:eastAsia="Times New Roman" w:hAnsi="Calibri" w:cs="Calibri"/>
        </w:rPr>
        <w:lastRenderedPageBreak/>
        <w:t xml:space="preserve">Personal care spending peaked in the 1960s, falling from 2.9 to 1.3 percent of the total between the early 1960s and the mid-1980s.  It then generally remained at slightly above one percent of total spending, with very little fluctuation since the turn of </w:t>
      </w:r>
      <w:r w:rsidR="00063FAA">
        <w:rPr>
          <w:rFonts w:ascii="Calibri" w:eastAsia="Times New Roman" w:hAnsi="Calibri" w:cs="Calibri"/>
        </w:rPr>
        <w:t xml:space="preserve">this </w:t>
      </w:r>
      <w:r w:rsidRPr="008E60F4">
        <w:rPr>
          <w:rFonts w:ascii="Calibri" w:eastAsia="Times New Roman" w:hAnsi="Calibri" w:cs="Calibri"/>
        </w:rPr>
        <w:t xml:space="preserve">century.  </w:t>
      </w:r>
    </w:p>
    <w:p w14:paraId="345D3A53" w14:textId="77777777" w:rsidR="008E60F4" w:rsidRDefault="008E60F4" w:rsidP="008E60F4">
      <w:pPr>
        <w:numPr>
          <w:ilvl w:val="0"/>
          <w:numId w:val="1"/>
        </w:numPr>
        <w:spacing w:line="252" w:lineRule="auto"/>
        <w:rPr>
          <w:rFonts w:ascii="Calibri" w:eastAsia="Times New Roman" w:hAnsi="Calibri" w:cs="Calibri"/>
          <w:b/>
          <w:bCs/>
        </w:rPr>
      </w:pPr>
      <w:r w:rsidRPr="008E60F4">
        <w:rPr>
          <w:rFonts w:ascii="Calibri" w:eastAsia="Times New Roman" w:hAnsi="Calibri" w:cs="Calibri"/>
          <w:b/>
          <w:bCs/>
          <w:color w:val="7030A0"/>
        </w:rPr>
        <w:t xml:space="preserve">Human capital spending – education and reading – has always constituted a relatively tiny share of total consumer spending – not much more than personal care or combined alcohol/tobacco spending during this century, and </w:t>
      </w:r>
      <w:r w:rsidRPr="008E60F4">
        <w:rPr>
          <w:rFonts w:ascii="Calibri" w:eastAsia="Times New Roman" w:hAnsi="Calibri" w:cs="Calibri"/>
          <w:b/>
          <w:bCs/>
          <w:i/>
          <w:iCs/>
          <w:color w:val="7030A0"/>
        </w:rPr>
        <w:t>below</w:t>
      </w:r>
      <w:r w:rsidRPr="008E60F4">
        <w:rPr>
          <w:rFonts w:ascii="Calibri" w:eastAsia="Times New Roman" w:hAnsi="Calibri" w:cs="Calibri"/>
          <w:b/>
          <w:bCs/>
          <w:color w:val="7030A0"/>
        </w:rPr>
        <w:t xml:space="preserve"> combined alcohol/tobacco spending until 1990. </w:t>
      </w:r>
      <w:r w:rsidRPr="008E60F4">
        <w:rPr>
          <w:rFonts w:ascii="Calibri" w:eastAsia="Times New Roman" w:hAnsi="Calibri" w:cs="Calibri"/>
          <w:b/>
          <w:bCs/>
        </w:rPr>
        <w:t> </w:t>
      </w:r>
    </w:p>
    <w:p w14:paraId="1D9BB6EA" w14:textId="77777777" w:rsidR="00BA1D20" w:rsidRDefault="00BA1D20" w:rsidP="00D34CD2">
      <w:pPr>
        <w:spacing w:line="252" w:lineRule="auto"/>
        <w:rPr>
          <w:rFonts w:ascii="Calibri" w:eastAsia="Times New Roman" w:hAnsi="Calibri" w:cs="Calibri"/>
          <w:b/>
          <w:bCs/>
          <w:color w:val="00B050"/>
        </w:rPr>
      </w:pPr>
    </w:p>
    <w:p w14:paraId="3DF20EED" w14:textId="0EEECB8C" w:rsidR="00D34CD2" w:rsidRDefault="00D34CD2" w:rsidP="00D34CD2">
      <w:pPr>
        <w:spacing w:line="252" w:lineRule="auto"/>
        <w:rPr>
          <w:rFonts w:ascii="Calibri" w:eastAsia="Times New Roman" w:hAnsi="Calibri" w:cs="Calibri"/>
        </w:rPr>
      </w:pPr>
      <w:r w:rsidRPr="00342013">
        <w:rPr>
          <w:rFonts w:ascii="Calibri" w:eastAsia="Times New Roman" w:hAnsi="Calibri" w:cs="Calibri"/>
          <w:b/>
          <w:bCs/>
          <w:color w:val="00B050"/>
        </w:rPr>
        <w:t xml:space="preserve">Pandemic and </w:t>
      </w:r>
      <w:r w:rsidR="00342013" w:rsidRPr="00342013">
        <w:rPr>
          <w:rFonts w:ascii="Calibri" w:eastAsia="Times New Roman" w:hAnsi="Calibri" w:cs="Calibri"/>
          <w:b/>
          <w:bCs/>
          <w:color w:val="00B050"/>
        </w:rPr>
        <w:t>post-pandemic trends</w:t>
      </w:r>
      <w:r w:rsidR="00342013">
        <w:rPr>
          <w:rFonts w:ascii="Calibri" w:eastAsia="Times New Roman" w:hAnsi="Calibri" w:cs="Calibri"/>
          <w:b/>
          <w:bCs/>
        </w:rPr>
        <w:t>.</w:t>
      </w:r>
      <w:r w:rsidR="00342013">
        <w:rPr>
          <w:rFonts w:ascii="Calibri" w:eastAsia="Times New Roman" w:hAnsi="Calibri" w:cs="Calibri"/>
        </w:rPr>
        <w:t xml:space="preserve">  </w:t>
      </w:r>
      <w:r w:rsidR="009D60DE">
        <w:rPr>
          <w:rFonts w:ascii="Calibri" w:eastAsia="Times New Roman" w:hAnsi="Calibri" w:cs="Calibri"/>
        </w:rPr>
        <w:t>The pandemic and post-pandemic period, including the post-</w:t>
      </w:r>
      <w:r w:rsidR="00B06959">
        <w:rPr>
          <w:rFonts w:ascii="Calibri" w:eastAsia="Times New Roman" w:hAnsi="Calibri" w:cs="Calibri"/>
        </w:rPr>
        <w:t xml:space="preserve">pandemic </w:t>
      </w:r>
      <w:r w:rsidR="009D60DE">
        <w:rPr>
          <w:rFonts w:ascii="Calibri" w:eastAsia="Times New Roman" w:hAnsi="Calibri" w:cs="Calibri"/>
        </w:rPr>
        <w:t xml:space="preserve">high inflationary period, does not </w:t>
      </w:r>
      <w:r w:rsidR="000B643D">
        <w:rPr>
          <w:rFonts w:ascii="Calibri" w:eastAsia="Times New Roman" w:hAnsi="Calibri" w:cs="Calibri"/>
        </w:rPr>
        <w:t xml:space="preserve">generally </w:t>
      </w:r>
      <w:r w:rsidR="009D60DE">
        <w:rPr>
          <w:rFonts w:ascii="Calibri" w:eastAsia="Times New Roman" w:hAnsi="Calibri" w:cs="Calibri"/>
        </w:rPr>
        <w:t xml:space="preserve">seem to have significantly altered long-term spending </w:t>
      </w:r>
      <w:r w:rsidR="000B643D">
        <w:rPr>
          <w:rFonts w:ascii="Calibri" w:eastAsia="Times New Roman" w:hAnsi="Calibri" w:cs="Calibri"/>
        </w:rPr>
        <w:t>trends</w:t>
      </w:r>
      <w:r w:rsidR="009D60DE">
        <w:rPr>
          <w:rFonts w:ascii="Calibri" w:eastAsia="Times New Roman" w:hAnsi="Calibri" w:cs="Calibri"/>
        </w:rPr>
        <w:t xml:space="preserve">.  Here are some of the </w:t>
      </w:r>
      <w:r w:rsidR="00001E14">
        <w:rPr>
          <w:rFonts w:ascii="Calibri" w:eastAsia="Times New Roman" w:hAnsi="Calibri" w:cs="Calibri"/>
        </w:rPr>
        <w:t>highlights</w:t>
      </w:r>
      <w:r w:rsidR="009D60DE">
        <w:rPr>
          <w:rFonts w:ascii="Calibri" w:eastAsia="Times New Roman" w:hAnsi="Calibri" w:cs="Calibri"/>
        </w:rPr>
        <w:t xml:space="preserve"> for recent years. </w:t>
      </w:r>
      <w:r w:rsidR="00A33B29">
        <w:rPr>
          <w:rFonts w:ascii="Calibri" w:eastAsia="Times New Roman" w:hAnsi="Calibri" w:cs="Calibri"/>
        </w:rPr>
        <w:t xml:space="preserve"> It should be kept in mind that many spending categories haven’t changed recent</w:t>
      </w:r>
      <w:r w:rsidR="00001E14">
        <w:rPr>
          <w:rFonts w:ascii="Calibri" w:eastAsia="Times New Roman" w:hAnsi="Calibri" w:cs="Calibri"/>
        </w:rPr>
        <w:t>ly</w:t>
      </w:r>
      <w:r w:rsidR="002F2EDC">
        <w:rPr>
          <w:rFonts w:ascii="Calibri" w:eastAsia="Times New Roman" w:hAnsi="Calibri" w:cs="Calibri"/>
        </w:rPr>
        <w:t>:  the items below highlight those that have changed.</w:t>
      </w:r>
    </w:p>
    <w:p w14:paraId="4E39C7BC" w14:textId="77777777" w:rsidR="009D60DE" w:rsidRDefault="009D60DE" w:rsidP="00D34CD2">
      <w:pPr>
        <w:spacing w:line="252" w:lineRule="auto"/>
        <w:rPr>
          <w:rFonts w:ascii="Calibri" w:eastAsia="Times New Roman" w:hAnsi="Calibri" w:cs="Calibri"/>
        </w:rPr>
      </w:pPr>
    </w:p>
    <w:p w14:paraId="1AB58DF1" w14:textId="59EA44B5" w:rsidR="009D60DE" w:rsidRDefault="004933B4" w:rsidP="008C1EF5">
      <w:pPr>
        <w:pStyle w:val="ListParagraph"/>
        <w:numPr>
          <w:ilvl w:val="0"/>
          <w:numId w:val="3"/>
        </w:numPr>
        <w:spacing w:line="252" w:lineRule="auto"/>
        <w:rPr>
          <w:rFonts w:ascii="Calibri" w:eastAsia="Times New Roman" w:hAnsi="Calibri" w:cs="Calibri"/>
        </w:rPr>
      </w:pPr>
      <w:r w:rsidRPr="008C1EF5">
        <w:rPr>
          <w:rFonts w:ascii="Calibri" w:eastAsia="Times New Roman" w:hAnsi="Calibri" w:cs="Calibri"/>
        </w:rPr>
        <w:t xml:space="preserve">After falling during the pandemic, the proportion of household spending devoted to food has </w:t>
      </w:r>
      <w:r w:rsidR="004E2956">
        <w:rPr>
          <w:rFonts w:ascii="Calibri" w:eastAsia="Times New Roman" w:hAnsi="Calibri" w:cs="Calibri"/>
        </w:rPr>
        <w:t xml:space="preserve">been </w:t>
      </w:r>
      <w:r w:rsidRPr="008C1EF5">
        <w:rPr>
          <w:rFonts w:ascii="Calibri" w:eastAsia="Times New Roman" w:hAnsi="Calibri" w:cs="Calibri"/>
        </w:rPr>
        <w:t xml:space="preserve">increasing for the past four years, albeit by only a .1 percentage point rise between 2022 and 2023, and the 2023 proportion </w:t>
      </w:r>
      <w:r w:rsidR="00587679">
        <w:rPr>
          <w:rFonts w:ascii="Calibri" w:eastAsia="Times New Roman" w:hAnsi="Calibri" w:cs="Calibri"/>
        </w:rPr>
        <w:t xml:space="preserve">didn’t </w:t>
      </w:r>
      <w:r w:rsidRPr="008C1EF5">
        <w:rPr>
          <w:rFonts w:ascii="Calibri" w:eastAsia="Times New Roman" w:hAnsi="Calibri" w:cs="Calibri"/>
        </w:rPr>
        <w:t xml:space="preserve">differ from the immediate pre-pandemic period. </w:t>
      </w:r>
    </w:p>
    <w:p w14:paraId="48DC63D1" w14:textId="658E6BC1" w:rsidR="00485245" w:rsidRDefault="00485245" w:rsidP="008C1EF5">
      <w:pPr>
        <w:pStyle w:val="ListParagraph"/>
        <w:numPr>
          <w:ilvl w:val="0"/>
          <w:numId w:val="3"/>
        </w:numPr>
        <w:spacing w:line="252" w:lineRule="auto"/>
        <w:rPr>
          <w:rFonts w:ascii="Calibri" w:eastAsia="Times New Roman" w:hAnsi="Calibri" w:cs="Calibri"/>
        </w:rPr>
      </w:pPr>
      <w:r>
        <w:rPr>
          <w:rFonts w:ascii="Calibri" w:eastAsia="Times New Roman" w:hAnsi="Calibri" w:cs="Calibri"/>
        </w:rPr>
        <w:t xml:space="preserve">Clothing spending immediately fell during the </w:t>
      </w:r>
      <w:r w:rsidR="00EA1556">
        <w:rPr>
          <w:rFonts w:ascii="Calibri" w:eastAsia="Times New Roman" w:hAnsi="Calibri" w:cs="Calibri"/>
        </w:rPr>
        <w:t>pandemic</w:t>
      </w:r>
      <w:r w:rsidR="00547690">
        <w:rPr>
          <w:rFonts w:ascii="Calibri" w:eastAsia="Times New Roman" w:hAnsi="Calibri" w:cs="Calibri"/>
        </w:rPr>
        <w:t xml:space="preserve">, </w:t>
      </w:r>
      <w:r w:rsidR="00EA1556">
        <w:rPr>
          <w:rFonts w:ascii="Calibri" w:eastAsia="Times New Roman" w:hAnsi="Calibri" w:cs="Calibri"/>
        </w:rPr>
        <w:t xml:space="preserve">presumably because people were interacting relatively little with those outside their </w:t>
      </w:r>
      <w:r w:rsidR="00547690">
        <w:rPr>
          <w:rFonts w:ascii="Calibri" w:eastAsia="Times New Roman" w:hAnsi="Calibri" w:cs="Calibri"/>
        </w:rPr>
        <w:t xml:space="preserve">immediate households. </w:t>
      </w:r>
      <w:r w:rsidR="00F643FC">
        <w:rPr>
          <w:rFonts w:ascii="Calibri" w:eastAsia="Times New Roman" w:hAnsi="Calibri" w:cs="Calibri"/>
        </w:rPr>
        <w:t xml:space="preserve"> Although it bounced back somewhat in </w:t>
      </w:r>
      <w:r w:rsidR="00BF0DD9">
        <w:rPr>
          <w:rFonts w:ascii="Calibri" w:eastAsia="Times New Roman" w:hAnsi="Calibri" w:cs="Calibri"/>
        </w:rPr>
        <w:t xml:space="preserve">the pandemic’s aftermath, it has remained below the pre-pandemic level – </w:t>
      </w:r>
      <w:r w:rsidR="005D67D7">
        <w:rPr>
          <w:rFonts w:ascii="Calibri" w:eastAsia="Times New Roman" w:hAnsi="Calibri" w:cs="Calibri"/>
        </w:rPr>
        <w:t>despite a long-term decline,</w:t>
      </w:r>
      <w:r w:rsidR="00BF0DD9">
        <w:rPr>
          <w:rFonts w:ascii="Calibri" w:eastAsia="Times New Roman" w:hAnsi="Calibri" w:cs="Calibri"/>
        </w:rPr>
        <w:t xml:space="preserve"> </w:t>
      </w:r>
      <w:r w:rsidR="00E12ECD">
        <w:rPr>
          <w:rFonts w:ascii="Calibri" w:eastAsia="Times New Roman" w:hAnsi="Calibri" w:cs="Calibri"/>
        </w:rPr>
        <w:t xml:space="preserve">it had </w:t>
      </w:r>
      <w:r w:rsidR="005D67D7">
        <w:rPr>
          <w:rFonts w:ascii="Calibri" w:eastAsia="Times New Roman" w:hAnsi="Calibri" w:cs="Calibri"/>
        </w:rPr>
        <w:t xml:space="preserve">stabilized at about 3 percent between 2016 and </w:t>
      </w:r>
      <w:r w:rsidR="00FD3496">
        <w:rPr>
          <w:rFonts w:ascii="Calibri" w:eastAsia="Times New Roman" w:hAnsi="Calibri" w:cs="Calibri"/>
        </w:rPr>
        <w:t xml:space="preserve">2019.  By 2023, it had again stabilized, but at about </w:t>
      </w:r>
      <w:r w:rsidR="005F067C">
        <w:rPr>
          <w:rFonts w:ascii="Calibri" w:eastAsia="Times New Roman" w:hAnsi="Calibri" w:cs="Calibri"/>
        </w:rPr>
        <w:t xml:space="preserve">2.6 percent of total spending since 2021.  </w:t>
      </w:r>
    </w:p>
    <w:p w14:paraId="6AA6E149" w14:textId="2249BD06" w:rsidR="00225570" w:rsidRDefault="0043187F" w:rsidP="008C1EF5">
      <w:pPr>
        <w:pStyle w:val="ListParagraph"/>
        <w:numPr>
          <w:ilvl w:val="0"/>
          <w:numId w:val="3"/>
        </w:numPr>
        <w:spacing w:line="252" w:lineRule="auto"/>
        <w:rPr>
          <w:rFonts w:ascii="Calibri" w:eastAsia="Times New Roman" w:hAnsi="Calibri" w:cs="Calibri"/>
        </w:rPr>
      </w:pPr>
      <w:r>
        <w:rPr>
          <w:rFonts w:ascii="Calibri" w:eastAsia="Times New Roman" w:hAnsi="Calibri" w:cs="Calibri"/>
        </w:rPr>
        <w:t>Overall h</w:t>
      </w:r>
      <w:r w:rsidR="00B80800">
        <w:rPr>
          <w:rFonts w:ascii="Calibri" w:eastAsia="Times New Roman" w:hAnsi="Calibri" w:cs="Calibri"/>
        </w:rPr>
        <w:t xml:space="preserve">ousing </w:t>
      </w:r>
      <w:r w:rsidR="00225570">
        <w:rPr>
          <w:rFonts w:ascii="Calibri" w:eastAsia="Times New Roman" w:hAnsi="Calibri" w:cs="Calibri"/>
        </w:rPr>
        <w:t xml:space="preserve">spending </w:t>
      </w:r>
      <w:r w:rsidR="00B03431">
        <w:rPr>
          <w:rFonts w:ascii="Calibri" w:eastAsia="Times New Roman" w:hAnsi="Calibri" w:cs="Calibri"/>
        </w:rPr>
        <w:t xml:space="preserve">(including household operations, maintenance, and furnishings) </w:t>
      </w:r>
      <w:r w:rsidR="005737E2">
        <w:rPr>
          <w:rFonts w:ascii="Calibri" w:eastAsia="Times New Roman" w:hAnsi="Calibri" w:cs="Calibri"/>
        </w:rPr>
        <w:t xml:space="preserve">immediately spiked in 2020, likely because individuals had little else to do in the initial pandemic </w:t>
      </w:r>
      <w:r w:rsidR="00274D9B">
        <w:rPr>
          <w:rFonts w:ascii="Calibri" w:eastAsia="Times New Roman" w:hAnsi="Calibri" w:cs="Calibri"/>
        </w:rPr>
        <w:t xml:space="preserve">year, and were catching up on maintenance and </w:t>
      </w:r>
      <w:r w:rsidR="00FF1D2B">
        <w:rPr>
          <w:rFonts w:ascii="Calibri" w:eastAsia="Times New Roman" w:hAnsi="Calibri" w:cs="Calibri"/>
        </w:rPr>
        <w:t xml:space="preserve">the fulfillment of </w:t>
      </w:r>
      <w:r w:rsidR="00274D9B">
        <w:rPr>
          <w:rFonts w:ascii="Calibri" w:eastAsia="Times New Roman" w:hAnsi="Calibri" w:cs="Calibri"/>
        </w:rPr>
        <w:t>long</w:t>
      </w:r>
      <w:r w:rsidR="00FE5B69">
        <w:rPr>
          <w:rFonts w:ascii="Calibri" w:eastAsia="Times New Roman" w:hAnsi="Calibri" w:cs="Calibri"/>
        </w:rPr>
        <w:t>-</w:t>
      </w:r>
      <w:r w:rsidR="00274D9B">
        <w:rPr>
          <w:rFonts w:ascii="Calibri" w:eastAsia="Times New Roman" w:hAnsi="Calibri" w:cs="Calibri"/>
        </w:rPr>
        <w:t xml:space="preserve">desired home improvement </w:t>
      </w:r>
      <w:r w:rsidR="00FE5B69">
        <w:rPr>
          <w:rFonts w:ascii="Calibri" w:eastAsia="Times New Roman" w:hAnsi="Calibri" w:cs="Calibri"/>
        </w:rPr>
        <w:t xml:space="preserve">projects.  </w:t>
      </w:r>
      <w:r w:rsidR="002675DE">
        <w:rPr>
          <w:rFonts w:ascii="Calibri" w:eastAsia="Times New Roman" w:hAnsi="Calibri" w:cs="Calibri"/>
        </w:rPr>
        <w:t xml:space="preserve">It subsequently fell each year, from 37.1 to 35.2 percent </w:t>
      </w:r>
      <w:r w:rsidR="0015436E">
        <w:rPr>
          <w:rFonts w:ascii="Calibri" w:eastAsia="Times New Roman" w:hAnsi="Calibri" w:cs="Calibri"/>
        </w:rPr>
        <w:t>of total spending, between 2020 and 2023</w:t>
      </w:r>
      <w:r w:rsidR="003173A0">
        <w:rPr>
          <w:rFonts w:ascii="Calibri" w:eastAsia="Times New Roman" w:hAnsi="Calibri" w:cs="Calibri"/>
        </w:rPr>
        <w:t xml:space="preserve"> – although the 2023 level remain</w:t>
      </w:r>
      <w:r w:rsidR="00587679">
        <w:rPr>
          <w:rFonts w:ascii="Calibri" w:eastAsia="Times New Roman" w:hAnsi="Calibri" w:cs="Calibri"/>
        </w:rPr>
        <w:t>ed</w:t>
      </w:r>
      <w:r w:rsidR="003173A0">
        <w:rPr>
          <w:rFonts w:ascii="Calibri" w:eastAsia="Times New Roman" w:hAnsi="Calibri" w:cs="Calibri"/>
        </w:rPr>
        <w:t xml:space="preserve"> </w:t>
      </w:r>
      <w:r w:rsidR="00841B86">
        <w:rPr>
          <w:rFonts w:ascii="Calibri" w:eastAsia="Times New Roman" w:hAnsi="Calibri" w:cs="Calibri"/>
        </w:rPr>
        <w:t xml:space="preserve">above the pre-pandemic levels of 2011 to 2019.  </w:t>
      </w:r>
      <w:r w:rsidR="0015436E">
        <w:rPr>
          <w:rFonts w:ascii="Calibri" w:eastAsia="Times New Roman" w:hAnsi="Calibri" w:cs="Calibri"/>
        </w:rPr>
        <w:t xml:space="preserve">  </w:t>
      </w:r>
    </w:p>
    <w:p w14:paraId="76B8F37F" w14:textId="522449A0" w:rsidR="007C43F9" w:rsidRDefault="007C43F9" w:rsidP="008C1EF5">
      <w:pPr>
        <w:pStyle w:val="ListParagraph"/>
        <w:numPr>
          <w:ilvl w:val="0"/>
          <w:numId w:val="3"/>
        </w:numPr>
        <w:spacing w:line="252" w:lineRule="auto"/>
        <w:rPr>
          <w:rFonts w:ascii="Calibri" w:eastAsia="Times New Roman" w:hAnsi="Calibri" w:cs="Calibri"/>
        </w:rPr>
      </w:pPr>
      <w:r>
        <w:rPr>
          <w:rFonts w:ascii="Calibri" w:eastAsia="Times New Roman" w:hAnsi="Calibri" w:cs="Calibri"/>
        </w:rPr>
        <w:t xml:space="preserve">Shelter-specific spending (i.e., rent and mortgage payments) also rose in </w:t>
      </w:r>
      <w:r w:rsidR="00CE0D5A">
        <w:rPr>
          <w:rFonts w:ascii="Calibri" w:eastAsia="Times New Roman" w:hAnsi="Calibri" w:cs="Calibri"/>
        </w:rPr>
        <w:t xml:space="preserve">2020, but after falling in </w:t>
      </w:r>
      <w:r w:rsidR="00C94B33">
        <w:rPr>
          <w:rFonts w:ascii="Calibri" w:eastAsia="Times New Roman" w:hAnsi="Calibri" w:cs="Calibri"/>
        </w:rPr>
        <w:t xml:space="preserve">2021 have risen slightly, from 19.8 to 20.1 percent of total spending between 2021 and </w:t>
      </w:r>
      <w:r w:rsidR="008832F2">
        <w:rPr>
          <w:rFonts w:ascii="Calibri" w:eastAsia="Times New Roman" w:hAnsi="Calibri" w:cs="Calibri"/>
        </w:rPr>
        <w:t xml:space="preserve">2023.  This likely reflects high housing inflation, as </w:t>
      </w:r>
      <w:r w:rsidR="007F63D3">
        <w:rPr>
          <w:rFonts w:ascii="Calibri" w:eastAsia="Times New Roman" w:hAnsi="Calibri" w:cs="Calibri"/>
        </w:rPr>
        <w:t xml:space="preserve">the 2023 level </w:t>
      </w:r>
      <w:r w:rsidR="008832F2">
        <w:rPr>
          <w:rFonts w:ascii="Calibri" w:eastAsia="Times New Roman" w:hAnsi="Calibri" w:cs="Calibri"/>
        </w:rPr>
        <w:t>exceed</w:t>
      </w:r>
      <w:r w:rsidR="00CB481F">
        <w:rPr>
          <w:rFonts w:ascii="Calibri" w:eastAsia="Times New Roman" w:hAnsi="Calibri" w:cs="Calibri"/>
        </w:rPr>
        <w:t>ed</w:t>
      </w:r>
      <w:r w:rsidR="008832F2">
        <w:rPr>
          <w:rFonts w:ascii="Calibri" w:eastAsia="Times New Roman" w:hAnsi="Calibri" w:cs="Calibri"/>
        </w:rPr>
        <w:t xml:space="preserve"> </w:t>
      </w:r>
      <w:r w:rsidR="007F63D3">
        <w:rPr>
          <w:rFonts w:ascii="Calibri" w:eastAsia="Times New Roman" w:hAnsi="Calibri" w:cs="Calibri"/>
        </w:rPr>
        <w:t xml:space="preserve">all years between 2011 and </w:t>
      </w:r>
      <w:r w:rsidR="00084A53">
        <w:rPr>
          <w:rFonts w:ascii="Calibri" w:eastAsia="Times New Roman" w:hAnsi="Calibri" w:cs="Calibri"/>
        </w:rPr>
        <w:t xml:space="preserve">2019. </w:t>
      </w:r>
    </w:p>
    <w:p w14:paraId="6EB10FB6" w14:textId="1179783C" w:rsidR="00084A53" w:rsidRDefault="00ED43F2" w:rsidP="008C1EF5">
      <w:pPr>
        <w:pStyle w:val="ListParagraph"/>
        <w:numPr>
          <w:ilvl w:val="0"/>
          <w:numId w:val="3"/>
        </w:numPr>
        <w:spacing w:line="252" w:lineRule="auto"/>
        <w:rPr>
          <w:rFonts w:ascii="Calibri" w:eastAsia="Times New Roman" w:hAnsi="Calibri" w:cs="Calibri"/>
        </w:rPr>
      </w:pPr>
      <w:r>
        <w:rPr>
          <w:rFonts w:ascii="Calibri" w:eastAsia="Times New Roman" w:hAnsi="Calibri" w:cs="Calibri"/>
        </w:rPr>
        <w:t xml:space="preserve">Spending on household furnishings </w:t>
      </w:r>
      <w:r w:rsidR="0043187F">
        <w:rPr>
          <w:rFonts w:ascii="Calibri" w:eastAsia="Times New Roman" w:hAnsi="Calibri" w:cs="Calibri"/>
        </w:rPr>
        <w:t xml:space="preserve">and equipment </w:t>
      </w:r>
      <w:r>
        <w:rPr>
          <w:rFonts w:ascii="Calibri" w:eastAsia="Times New Roman" w:hAnsi="Calibri" w:cs="Calibri"/>
        </w:rPr>
        <w:t xml:space="preserve">spiked during the </w:t>
      </w:r>
      <w:r w:rsidR="0043187F">
        <w:rPr>
          <w:rFonts w:ascii="Calibri" w:eastAsia="Times New Roman" w:hAnsi="Calibri" w:cs="Calibri"/>
        </w:rPr>
        <w:t xml:space="preserve">pandemic, </w:t>
      </w:r>
      <w:r w:rsidR="00C765E1">
        <w:rPr>
          <w:rFonts w:ascii="Calibri" w:eastAsia="Times New Roman" w:hAnsi="Calibri" w:cs="Calibri"/>
        </w:rPr>
        <w:t xml:space="preserve">but had fallen from </w:t>
      </w:r>
      <w:r w:rsidR="00F53206">
        <w:rPr>
          <w:rFonts w:ascii="Calibri" w:eastAsia="Times New Roman" w:hAnsi="Calibri" w:cs="Calibri"/>
        </w:rPr>
        <w:t xml:space="preserve">4.0 (the pandemic peak) to 3.2 percent by 2023 as a share of total </w:t>
      </w:r>
      <w:r w:rsidR="001C0A28">
        <w:rPr>
          <w:rFonts w:ascii="Calibri" w:eastAsia="Times New Roman" w:hAnsi="Calibri" w:cs="Calibri"/>
        </w:rPr>
        <w:t>spending, and the latest level ha</w:t>
      </w:r>
      <w:r w:rsidR="008C3A53">
        <w:rPr>
          <w:rFonts w:ascii="Calibri" w:eastAsia="Times New Roman" w:hAnsi="Calibri" w:cs="Calibri"/>
        </w:rPr>
        <w:t>d</w:t>
      </w:r>
      <w:r w:rsidR="001C0A28">
        <w:rPr>
          <w:rFonts w:ascii="Calibri" w:eastAsia="Times New Roman" w:hAnsi="Calibri" w:cs="Calibri"/>
        </w:rPr>
        <w:t xml:space="preserve"> returned to the approximate </w:t>
      </w:r>
      <w:r w:rsidR="00A653ED">
        <w:rPr>
          <w:rFonts w:ascii="Calibri" w:eastAsia="Times New Roman" w:hAnsi="Calibri" w:cs="Calibri"/>
        </w:rPr>
        <w:t xml:space="preserve">2015 to 2019 level.  </w:t>
      </w:r>
    </w:p>
    <w:p w14:paraId="337413BB" w14:textId="727FD9C1" w:rsidR="00110921" w:rsidRDefault="00110921" w:rsidP="008C1EF5">
      <w:pPr>
        <w:pStyle w:val="ListParagraph"/>
        <w:numPr>
          <w:ilvl w:val="0"/>
          <w:numId w:val="3"/>
        </w:numPr>
        <w:spacing w:line="252" w:lineRule="auto"/>
        <w:rPr>
          <w:rFonts w:ascii="Calibri" w:eastAsia="Times New Roman" w:hAnsi="Calibri" w:cs="Calibri"/>
        </w:rPr>
      </w:pPr>
      <w:r>
        <w:rPr>
          <w:rFonts w:ascii="Calibri" w:eastAsia="Times New Roman" w:hAnsi="Calibri" w:cs="Calibri"/>
        </w:rPr>
        <w:t xml:space="preserve">Transportation spending unsurprisingly dropped during the pandemic, but has gradually risen from 16.0 to 17.0 of total spending </w:t>
      </w:r>
      <w:r w:rsidR="00E81710">
        <w:rPr>
          <w:rFonts w:ascii="Calibri" w:eastAsia="Times New Roman" w:hAnsi="Calibri" w:cs="Calibri"/>
        </w:rPr>
        <w:t xml:space="preserve">between 2020 and 2023.  However, the increase between 2022 and 2023 was only .1 </w:t>
      </w:r>
      <w:r w:rsidR="006E09BF">
        <w:rPr>
          <w:rFonts w:ascii="Calibri" w:eastAsia="Times New Roman" w:hAnsi="Calibri" w:cs="Calibri"/>
        </w:rPr>
        <w:t xml:space="preserve">percentage point, and the 2023 level matched the </w:t>
      </w:r>
      <w:r w:rsidR="00C66575">
        <w:rPr>
          <w:rFonts w:ascii="Calibri" w:eastAsia="Times New Roman" w:hAnsi="Calibri" w:cs="Calibri"/>
        </w:rPr>
        <w:t xml:space="preserve">2019 pre-pandemic average. </w:t>
      </w:r>
    </w:p>
    <w:p w14:paraId="5879C3E0" w14:textId="517E0E25" w:rsidR="00A12774" w:rsidRDefault="00A12774" w:rsidP="008C1EF5">
      <w:pPr>
        <w:pStyle w:val="ListParagraph"/>
        <w:numPr>
          <w:ilvl w:val="0"/>
          <w:numId w:val="3"/>
        </w:numPr>
        <w:spacing w:line="252" w:lineRule="auto"/>
        <w:rPr>
          <w:rFonts w:ascii="Calibri" w:eastAsia="Times New Roman" w:hAnsi="Calibri" w:cs="Calibri"/>
        </w:rPr>
      </w:pPr>
      <w:r>
        <w:rPr>
          <w:rFonts w:ascii="Calibri" w:eastAsia="Times New Roman" w:hAnsi="Calibri" w:cs="Calibri"/>
        </w:rPr>
        <w:t xml:space="preserve">Entertainment spending also unsurprisingly spiked during the pandemic, </w:t>
      </w:r>
      <w:r w:rsidR="001F408A">
        <w:rPr>
          <w:rFonts w:ascii="Calibri" w:eastAsia="Times New Roman" w:hAnsi="Calibri" w:cs="Calibri"/>
        </w:rPr>
        <w:t xml:space="preserve">but fell </w:t>
      </w:r>
      <w:r w:rsidR="002C5B4A">
        <w:rPr>
          <w:rFonts w:ascii="Calibri" w:eastAsia="Times New Roman" w:hAnsi="Calibri" w:cs="Calibri"/>
        </w:rPr>
        <w:t xml:space="preserve">from 5.3 to 4.7 percent between 2021 and 2023, albeit with no change between 2022 and 2023.  </w:t>
      </w:r>
      <w:r w:rsidR="00C35217">
        <w:rPr>
          <w:rFonts w:ascii="Calibri" w:eastAsia="Times New Roman" w:hAnsi="Calibri" w:cs="Calibri"/>
        </w:rPr>
        <w:t>T</w:t>
      </w:r>
      <w:r w:rsidR="00CF0F30">
        <w:rPr>
          <w:rFonts w:ascii="Calibri" w:eastAsia="Times New Roman" w:hAnsi="Calibri" w:cs="Calibri"/>
        </w:rPr>
        <w:t xml:space="preserve">o find less spending on entertainment than </w:t>
      </w:r>
      <w:r w:rsidR="00905688">
        <w:rPr>
          <w:rFonts w:ascii="Calibri" w:eastAsia="Times New Roman" w:hAnsi="Calibri" w:cs="Calibri"/>
        </w:rPr>
        <w:t xml:space="preserve">that </w:t>
      </w:r>
      <w:r w:rsidR="00CF0F30">
        <w:rPr>
          <w:rFonts w:ascii="Calibri" w:eastAsia="Times New Roman" w:hAnsi="Calibri" w:cs="Calibri"/>
        </w:rPr>
        <w:t xml:space="preserve">during the past few years, </w:t>
      </w:r>
      <w:r w:rsidR="00491699">
        <w:rPr>
          <w:rFonts w:ascii="Calibri" w:eastAsia="Times New Roman" w:hAnsi="Calibri" w:cs="Calibri"/>
        </w:rPr>
        <w:t xml:space="preserve">once must go back to the early 1980s, when video recorders were just beginning to sell.  </w:t>
      </w:r>
    </w:p>
    <w:p w14:paraId="2848E89A" w14:textId="411E99A8" w:rsidR="00717EF3" w:rsidRPr="008C1EF5" w:rsidRDefault="00717EF3" w:rsidP="008C1EF5">
      <w:pPr>
        <w:pStyle w:val="ListParagraph"/>
        <w:numPr>
          <w:ilvl w:val="0"/>
          <w:numId w:val="3"/>
        </w:numPr>
        <w:spacing w:line="252" w:lineRule="auto"/>
        <w:rPr>
          <w:rFonts w:ascii="Calibri" w:eastAsia="Times New Roman" w:hAnsi="Calibri" w:cs="Calibri"/>
        </w:rPr>
      </w:pPr>
      <w:r>
        <w:rPr>
          <w:rFonts w:ascii="Calibri" w:eastAsia="Times New Roman" w:hAnsi="Calibri" w:cs="Calibri"/>
        </w:rPr>
        <w:t xml:space="preserve">Likely because of fewer </w:t>
      </w:r>
      <w:r w:rsidR="00F06868">
        <w:rPr>
          <w:rFonts w:ascii="Calibri" w:eastAsia="Times New Roman" w:hAnsi="Calibri" w:cs="Calibri"/>
        </w:rPr>
        <w:t xml:space="preserve">people attending postsecondary schools, education spending fell to 1.8 </w:t>
      </w:r>
      <w:r w:rsidR="00B3339B">
        <w:rPr>
          <w:rFonts w:ascii="Calibri" w:eastAsia="Times New Roman" w:hAnsi="Calibri" w:cs="Calibri"/>
        </w:rPr>
        <w:t xml:space="preserve">of total spending in 2021 and 2022, but then spiked to 2.1 percent in 2023.  </w:t>
      </w:r>
      <w:r w:rsidR="00035632">
        <w:rPr>
          <w:rFonts w:ascii="Calibri" w:eastAsia="Times New Roman" w:hAnsi="Calibri" w:cs="Calibri"/>
        </w:rPr>
        <w:t xml:space="preserve">The last time education spending was as low as 1.8 percent was in </w:t>
      </w:r>
      <w:r w:rsidR="00D6644C">
        <w:rPr>
          <w:rFonts w:ascii="Calibri" w:eastAsia="Times New Roman" w:hAnsi="Calibri" w:cs="Calibri"/>
        </w:rPr>
        <w:t>the early 2000s</w:t>
      </w:r>
      <w:r w:rsidR="00CA340C">
        <w:rPr>
          <w:rFonts w:ascii="Calibri" w:eastAsia="Times New Roman" w:hAnsi="Calibri" w:cs="Calibri"/>
        </w:rPr>
        <w:t>, and even the increase to 2.1 percent remain</w:t>
      </w:r>
      <w:r w:rsidR="00C96543">
        <w:rPr>
          <w:rFonts w:ascii="Calibri" w:eastAsia="Times New Roman" w:hAnsi="Calibri" w:cs="Calibri"/>
        </w:rPr>
        <w:t>ed</w:t>
      </w:r>
      <w:r w:rsidR="00CA340C">
        <w:rPr>
          <w:rFonts w:ascii="Calibri" w:eastAsia="Times New Roman" w:hAnsi="Calibri" w:cs="Calibri"/>
        </w:rPr>
        <w:t xml:space="preserve"> below the 2012 to 2019 pre-pandemic levels.  </w:t>
      </w:r>
    </w:p>
    <w:p w14:paraId="2CBF5617" w14:textId="77777777" w:rsidR="004933B4" w:rsidRPr="008E60F4" w:rsidRDefault="004933B4" w:rsidP="00D34CD2">
      <w:pPr>
        <w:spacing w:line="252" w:lineRule="auto"/>
        <w:rPr>
          <w:rFonts w:ascii="Calibri" w:eastAsia="Times New Roman" w:hAnsi="Calibri" w:cs="Calibri"/>
        </w:rPr>
      </w:pPr>
    </w:p>
    <w:p w14:paraId="4A47688D" w14:textId="4C64DD13" w:rsidR="008E60F4" w:rsidRDefault="002050B8">
      <w:r>
        <w:rPr>
          <w:noProof/>
        </w:rPr>
        <w:lastRenderedPageBreak/>
        <w:drawing>
          <wp:inline distT="0" distB="0" distL="0" distR="0" wp14:anchorId="6F6E65EF" wp14:editId="07653259">
            <wp:extent cx="7199884" cy="4290567"/>
            <wp:effectExtent l="0" t="0" r="1270" b="0"/>
            <wp:docPr id="941306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10956" cy="4297165"/>
                    </a:xfrm>
                    <a:prstGeom prst="rect">
                      <a:avLst/>
                    </a:prstGeom>
                    <a:noFill/>
                  </pic:spPr>
                </pic:pic>
              </a:graphicData>
            </a:graphic>
          </wp:inline>
        </w:drawing>
      </w:r>
    </w:p>
    <w:p w14:paraId="21D9EEF2" w14:textId="77777777" w:rsidR="002050B8" w:rsidRDefault="002050B8"/>
    <w:p w14:paraId="4C589BE1" w14:textId="6743FAF6" w:rsidR="002050B8" w:rsidRDefault="002050B8">
      <w:r>
        <w:rPr>
          <w:noProof/>
        </w:rPr>
        <w:drawing>
          <wp:inline distT="0" distB="0" distL="0" distR="0" wp14:anchorId="64246FFD" wp14:editId="61255F2B">
            <wp:extent cx="7218172" cy="4296166"/>
            <wp:effectExtent l="0" t="0" r="1905" b="9525"/>
            <wp:docPr id="110955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1971" cy="4304379"/>
                    </a:xfrm>
                    <a:prstGeom prst="rect">
                      <a:avLst/>
                    </a:prstGeom>
                    <a:noFill/>
                  </pic:spPr>
                </pic:pic>
              </a:graphicData>
            </a:graphic>
          </wp:inline>
        </w:drawing>
      </w:r>
    </w:p>
    <w:p w14:paraId="0D475056" w14:textId="4913038B" w:rsidR="002050B8" w:rsidRDefault="00BA1D20">
      <w:r>
        <w:lastRenderedPageBreak/>
        <w:t xml:space="preserve">[9-25-24, by Frank Gallo, at </w:t>
      </w:r>
      <w:hyperlink r:id="rId9" w:history="1">
        <w:r w:rsidRPr="006E25ED">
          <w:rPr>
            <w:rStyle w:val="Hyperlink"/>
          </w:rPr>
          <w:t>Gallo.Frank@DOL.gov</w:t>
        </w:r>
      </w:hyperlink>
      <w:r>
        <w:t xml:space="preserve">]  </w:t>
      </w:r>
    </w:p>
    <w:sectPr w:rsidR="002050B8" w:rsidSect="00D00539">
      <w:footerReference w:type="default" r:id="rId10"/>
      <w:pgSz w:w="12240" w:h="15840"/>
      <w:pgMar w:top="576" w:right="576" w:bottom="576"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FAAE20" w14:textId="77777777" w:rsidR="001B42A1" w:rsidRDefault="001B42A1" w:rsidP="001B42A1">
      <w:r>
        <w:separator/>
      </w:r>
    </w:p>
  </w:endnote>
  <w:endnote w:type="continuationSeparator" w:id="0">
    <w:p w14:paraId="12BCC52E" w14:textId="77777777" w:rsidR="001B42A1" w:rsidRDefault="001B42A1" w:rsidP="001B4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2256038"/>
      <w:docPartObj>
        <w:docPartGallery w:val="Page Numbers (Bottom of Page)"/>
        <w:docPartUnique/>
      </w:docPartObj>
    </w:sdtPr>
    <w:sdtContent>
      <w:sdt>
        <w:sdtPr>
          <w:id w:val="1728636285"/>
          <w:docPartObj>
            <w:docPartGallery w:val="Page Numbers (Top of Page)"/>
            <w:docPartUnique/>
          </w:docPartObj>
        </w:sdtPr>
        <w:sdtContent>
          <w:p w14:paraId="34C26942" w14:textId="39C5B8F2" w:rsidR="001B42A1" w:rsidRDefault="001B42A1">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7A721C5" w14:textId="77777777" w:rsidR="001B42A1" w:rsidRDefault="001B42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55218F" w14:textId="77777777" w:rsidR="001B42A1" w:rsidRDefault="001B42A1" w:rsidP="001B42A1">
      <w:r>
        <w:separator/>
      </w:r>
    </w:p>
  </w:footnote>
  <w:footnote w:type="continuationSeparator" w:id="0">
    <w:p w14:paraId="591A7898" w14:textId="77777777" w:rsidR="001B42A1" w:rsidRDefault="001B42A1" w:rsidP="001B42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53A67"/>
    <w:multiLevelType w:val="hybridMultilevel"/>
    <w:tmpl w:val="73A64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645187"/>
    <w:multiLevelType w:val="hybridMultilevel"/>
    <w:tmpl w:val="D668EC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499719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7667384">
    <w:abstractNumId w:val="1"/>
  </w:num>
  <w:num w:numId="3" w16cid:durableId="185486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4"/>
  <w:proofState w:spelling="clean" w:grammar="clean"/>
  <w:revisionView w:inkAnnotation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0F4"/>
    <w:rsid w:val="00001E14"/>
    <w:rsid w:val="00035632"/>
    <w:rsid w:val="00063FAA"/>
    <w:rsid w:val="00084A53"/>
    <w:rsid w:val="000B643D"/>
    <w:rsid w:val="00110921"/>
    <w:rsid w:val="0011619B"/>
    <w:rsid w:val="0015436E"/>
    <w:rsid w:val="00164784"/>
    <w:rsid w:val="0017769F"/>
    <w:rsid w:val="001B42A1"/>
    <w:rsid w:val="001C0A28"/>
    <w:rsid w:val="001F408A"/>
    <w:rsid w:val="002050B8"/>
    <w:rsid w:val="00224029"/>
    <w:rsid w:val="00225570"/>
    <w:rsid w:val="0023072A"/>
    <w:rsid w:val="002675DE"/>
    <w:rsid w:val="00274D9B"/>
    <w:rsid w:val="002C5B4A"/>
    <w:rsid w:val="002F2EDC"/>
    <w:rsid w:val="003173A0"/>
    <w:rsid w:val="00342013"/>
    <w:rsid w:val="00387D5D"/>
    <w:rsid w:val="003E0E07"/>
    <w:rsid w:val="00401298"/>
    <w:rsid w:val="004058C6"/>
    <w:rsid w:val="00412054"/>
    <w:rsid w:val="0043187F"/>
    <w:rsid w:val="00485245"/>
    <w:rsid w:val="00491699"/>
    <w:rsid w:val="004933B4"/>
    <w:rsid w:val="004E2956"/>
    <w:rsid w:val="00547690"/>
    <w:rsid w:val="005737E2"/>
    <w:rsid w:val="00587679"/>
    <w:rsid w:val="005D67D7"/>
    <w:rsid w:val="005E39DA"/>
    <w:rsid w:val="005F067C"/>
    <w:rsid w:val="005F14D8"/>
    <w:rsid w:val="00631194"/>
    <w:rsid w:val="006E09BF"/>
    <w:rsid w:val="006F6727"/>
    <w:rsid w:val="00717EF3"/>
    <w:rsid w:val="00772FDF"/>
    <w:rsid w:val="007C43F9"/>
    <w:rsid w:val="007D3159"/>
    <w:rsid w:val="007E7F5F"/>
    <w:rsid w:val="007F63D3"/>
    <w:rsid w:val="00841B86"/>
    <w:rsid w:val="0084741B"/>
    <w:rsid w:val="008832F2"/>
    <w:rsid w:val="008A38F9"/>
    <w:rsid w:val="008C1EF5"/>
    <w:rsid w:val="008C3A53"/>
    <w:rsid w:val="008E60F4"/>
    <w:rsid w:val="00905688"/>
    <w:rsid w:val="00915071"/>
    <w:rsid w:val="009D2A3D"/>
    <w:rsid w:val="009D60DE"/>
    <w:rsid w:val="00A12774"/>
    <w:rsid w:val="00A15717"/>
    <w:rsid w:val="00A2708D"/>
    <w:rsid w:val="00A33B29"/>
    <w:rsid w:val="00A653ED"/>
    <w:rsid w:val="00AA3B43"/>
    <w:rsid w:val="00AB6E8F"/>
    <w:rsid w:val="00AC636A"/>
    <w:rsid w:val="00AD1305"/>
    <w:rsid w:val="00AE7F72"/>
    <w:rsid w:val="00B03431"/>
    <w:rsid w:val="00B06959"/>
    <w:rsid w:val="00B3339B"/>
    <w:rsid w:val="00B60B3F"/>
    <w:rsid w:val="00B80800"/>
    <w:rsid w:val="00BA1D20"/>
    <w:rsid w:val="00BF0DD9"/>
    <w:rsid w:val="00C35217"/>
    <w:rsid w:val="00C66575"/>
    <w:rsid w:val="00C6664C"/>
    <w:rsid w:val="00C765E1"/>
    <w:rsid w:val="00C94B33"/>
    <w:rsid w:val="00C96543"/>
    <w:rsid w:val="00CA340C"/>
    <w:rsid w:val="00CB481F"/>
    <w:rsid w:val="00CE0D5A"/>
    <w:rsid w:val="00CF0F30"/>
    <w:rsid w:val="00D00539"/>
    <w:rsid w:val="00D34CD2"/>
    <w:rsid w:val="00D46F78"/>
    <w:rsid w:val="00D6644C"/>
    <w:rsid w:val="00DC6938"/>
    <w:rsid w:val="00DD7DE9"/>
    <w:rsid w:val="00DE1A4C"/>
    <w:rsid w:val="00E12ECD"/>
    <w:rsid w:val="00E81710"/>
    <w:rsid w:val="00EA1556"/>
    <w:rsid w:val="00EA52BC"/>
    <w:rsid w:val="00EA5B32"/>
    <w:rsid w:val="00EC14CB"/>
    <w:rsid w:val="00ED43F2"/>
    <w:rsid w:val="00F00573"/>
    <w:rsid w:val="00F06868"/>
    <w:rsid w:val="00F21609"/>
    <w:rsid w:val="00F35CFE"/>
    <w:rsid w:val="00F40E53"/>
    <w:rsid w:val="00F53206"/>
    <w:rsid w:val="00F643FC"/>
    <w:rsid w:val="00F974A9"/>
    <w:rsid w:val="00FD3496"/>
    <w:rsid w:val="00FE5B69"/>
    <w:rsid w:val="00FF1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CF32CF"/>
  <w15:chartTrackingRefBased/>
  <w15:docId w15:val="{71BF57FE-77BB-4A9E-AAE1-45F161269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60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E60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E60F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60F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E60F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E60F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60F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60F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60F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0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E60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E60F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E60F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E60F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E60F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E60F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E60F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E60F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E60F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60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60F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60F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E60F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60F4"/>
    <w:rPr>
      <w:i/>
      <w:iCs/>
      <w:color w:val="404040" w:themeColor="text1" w:themeTint="BF"/>
    </w:rPr>
  </w:style>
  <w:style w:type="paragraph" w:styleId="ListParagraph">
    <w:name w:val="List Paragraph"/>
    <w:basedOn w:val="Normal"/>
    <w:uiPriority w:val="34"/>
    <w:qFormat/>
    <w:rsid w:val="008E60F4"/>
    <w:pPr>
      <w:ind w:left="720"/>
      <w:contextualSpacing/>
    </w:pPr>
  </w:style>
  <w:style w:type="character" w:styleId="IntenseEmphasis">
    <w:name w:val="Intense Emphasis"/>
    <w:basedOn w:val="DefaultParagraphFont"/>
    <w:uiPriority w:val="21"/>
    <w:qFormat/>
    <w:rsid w:val="008E60F4"/>
    <w:rPr>
      <w:i/>
      <w:iCs/>
      <w:color w:val="2F5496" w:themeColor="accent1" w:themeShade="BF"/>
    </w:rPr>
  </w:style>
  <w:style w:type="paragraph" w:styleId="IntenseQuote">
    <w:name w:val="Intense Quote"/>
    <w:basedOn w:val="Normal"/>
    <w:next w:val="Normal"/>
    <w:link w:val="IntenseQuoteChar"/>
    <w:uiPriority w:val="30"/>
    <w:qFormat/>
    <w:rsid w:val="008E60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60F4"/>
    <w:rPr>
      <w:i/>
      <w:iCs/>
      <w:color w:val="2F5496" w:themeColor="accent1" w:themeShade="BF"/>
    </w:rPr>
  </w:style>
  <w:style w:type="character" w:styleId="IntenseReference">
    <w:name w:val="Intense Reference"/>
    <w:basedOn w:val="DefaultParagraphFont"/>
    <w:uiPriority w:val="32"/>
    <w:qFormat/>
    <w:rsid w:val="008E60F4"/>
    <w:rPr>
      <w:b/>
      <w:bCs/>
      <w:smallCaps/>
      <w:color w:val="2F5496" w:themeColor="accent1" w:themeShade="BF"/>
      <w:spacing w:val="5"/>
    </w:rPr>
  </w:style>
  <w:style w:type="paragraph" w:styleId="Header">
    <w:name w:val="header"/>
    <w:basedOn w:val="Normal"/>
    <w:link w:val="HeaderChar"/>
    <w:uiPriority w:val="99"/>
    <w:unhideWhenUsed/>
    <w:rsid w:val="001B42A1"/>
    <w:pPr>
      <w:tabs>
        <w:tab w:val="center" w:pos="4680"/>
        <w:tab w:val="right" w:pos="9360"/>
      </w:tabs>
    </w:pPr>
  </w:style>
  <w:style w:type="character" w:customStyle="1" w:styleId="HeaderChar">
    <w:name w:val="Header Char"/>
    <w:basedOn w:val="DefaultParagraphFont"/>
    <w:link w:val="Header"/>
    <w:uiPriority w:val="99"/>
    <w:rsid w:val="001B42A1"/>
  </w:style>
  <w:style w:type="paragraph" w:styleId="Footer">
    <w:name w:val="footer"/>
    <w:basedOn w:val="Normal"/>
    <w:link w:val="FooterChar"/>
    <w:uiPriority w:val="99"/>
    <w:unhideWhenUsed/>
    <w:rsid w:val="001B42A1"/>
    <w:pPr>
      <w:tabs>
        <w:tab w:val="center" w:pos="4680"/>
        <w:tab w:val="right" w:pos="9360"/>
      </w:tabs>
    </w:pPr>
  </w:style>
  <w:style w:type="character" w:customStyle="1" w:styleId="FooterChar">
    <w:name w:val="Footer Char"/>
    <w:basedOn w:val="DefaultParagraphFont"/>
    <w:link w:val="Footer"/>
    <w:uiPriority w:val="99"/>
    <w:rsid w:val="001B42A1"/>
  </w:style>
  <w:style w:type="character" w:styleId="Hyperlink">
    <w:name w:val="Hyperlink"/>
    <w:basedOn w:val="DefaultParagraphFont"/>
    <w:uiPriority w:val="99"/>
    <w:unhideWhenUsed/>
    <w:rsid w:val="00BA1D20"/>
    <w:rPr>
      <w:color w:val="0563C1" w:themeColor="hyperlink"/>
      <w:u w:val="single"/>
    </w:rPr>
  </w:style>
  <w:style w:type="character" w:styleId="UnresolvedMention">
    <w:name w:val="Unresolved Mention"/>
    <w:basedOn w:val="DefaultParagraphFont"/>
    <w:uiPriority w:val="99"/>
    <w:semiHidden/>
    <w:unhideWhenUsed/>
    <w:rsid w:val="00BA1D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275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Gallo.Frank@DOL.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4</Pages>
  <Words>1200</Words>
  <Characters>6841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Gallo, Frank - ETA</dc:creator>
  <cp:keywords/>
  <dc:description/>
  <cp:lastModifiedBy>Gallo, Frank - ETA</cp:lastModifiedBy>
  <cp:revision>79</cp:revision>
  <dcterms:created xsi:type="dcterms:W3CDTF">2024-09-25T15:41:00Z</dcterms:created>
  <dcterms:modified xsi:type="dcterms:W3CDTF">2024-09-25T16:51:00Z</dcterms:modified>
</cp:coreProperties>
</file>