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083" w:rsidRDefault="00F37083">
      <w:r>
        <w:t>TEGL 14-18 Main Body Summary and Highlights</w:t>
      </w:r>
    </w:p>
    <w:p w:rsidR="00F37083" w:rsidRDefault="00F37083">
      <w:r>
        <w:t>Slide 1:</w:t>
      </w:r>
    </w:p>
    <w:p w:rsidR="00F37083" w:rsidRPr="00F37083" w:rsidRDefault="00F37083" w:rsidP="00F37083">
      <w:r w:rsidRPr="00F37083">
        <w:t xml:space="preserve">This is the Department of Labor’s webcast summarizing and highlighting key features of the main body of its recently released guidance on Aligning Performance Accountability Reporting, Definitions, and Policies Across Workforce Employment and Training Programs Administered by the U.S. Department of Labor. </w:t>
      </w:r>
    </w:p>
    <w:p w:rsidR="00F37083" w:rsidRDefault="00F37083">
      <w:r>
        <w:t>Slide 2:</w:t>
      </w:r>
    </w:p>
    <w:p w:rsidR="00F37083" w:rsidRPr="00F37083" w:rsidRDefault="00F37083" w:rsidP="00F37083">
      <w:r w:rsidRPr="00F37083">
        <w:t xml:space="preserve">This webcast is intended to provide short descriptions of important sections of the guidance, while highlighting which sections requirements are only applicable to certain programs. </w:t>
      </w:r>
    </w:p>
    <w:p w:rsidR="00F37083" w:rsidRPr="00F37083" w:rsidRDefault="00F37083" w:rsidP="00F37083">
      <w:r w:rsidRPr="00F37083">
        <w:t xml:space="preserve">Starting at the beginning of the guidance, Sections 1-6 describe for grantees the purpose, guidance structure, and other existing guidance, but the bulk of the descriptions of performance accountability requirements begins with </w:t>
      </w:r>
      <w:proofErr w:type="gramStart"/>
      <w:r w:rsidRPr="00F37083">
        <w:t>section  7</w:t>
      </w:r>
      <w:proofErr w:type="gramEnd"/>
      <w:r w:rsidRPr="00F37083">
        <w:t>.</w:t>
      </w:r>
    </w:p>
    <w:p w:rsidR="00F37083" w:rsidRDefault="00F37083">
      <w:r>
        <w:t>Slide 3:</w:t>
      </w:r>
    </w:p>
    <w:p w:rsidR="00F37083" w:rsidRPr="00F37083" w:rsidRDefault="00F37083" w:rsidP="00F37083">
      <w:r w:rsidRPr="00F37083">
        <w:t xml:space="preserve">Section 7 describes categories of enrollment and is applicable to all programs and includes descriptions of important terms, including participant, reportable individual, date of program exit, and common exit, which are aligned to TEGL 10-16, change 1. Included in this section is an important clarification on period of reportable individual activity that is based on the recent amendment to the DOL-only Information Collection Request. </w:t>
      </w:r>
    </w:p>
    <w:p w:rsidR="00F37083" w:rsidRDefault="00F37083">
      <w:r>
        <w:t>Slide 4:</w:t>
      </w:r>
    </w:p>
    <w:p w:rsidR="00F37083" w:rsidRPr="00F37083" w:rsidRDefault="00F37083" w:rsidP="00F37083">
      <w:proofErr w:type="gramStart"/>
      <w:r w:rsidRPr="00F37083">
        <w:t>Section  8</w:t>
      </w:r>
      <w:proofErr w:type="gramEnd"/>
      <w:r w:rsidRPr="00F37083">
        <w:t xml:space="preserve"> describes self-service and information only activities, which are provided by many of the programs in this guidance and are associated with the definition of reportable individual. An important clarification in this section is that while these services can be provided virtually, that does not mean that all virtually provided services are automatically categorized as self-service or information only. </w:t>
      </w:r>
    </w:p>
    <w:p w:rsidR="00F37083" w:rsidRDefault="00F37083">
      <w:r>
        <w:t>Slide 5:</w:t>
      </w:r>
    </w:p>
    <w:p w:rsidR="00F37083" w:rsidRPr="00F37083" w:rsidRDefault="00F37083" w:rsidP="00F37083">
      <w:proofErr w:type="gramStart"/>
      <w:r w:rsidRPr="00F37083">
        <w:t>Section  9</w:t>
      </w:r>
      <w:proofErr w:type="gramEnd"/>
      <w:r w:rsidRPr="00F37083">
        <w:t xml:space="preserve"> describes the concept of Period of Participation, which applies to all programs and covers the time from a participant’s date of program entry to their date of program exit. These periods are what the department uses to calculate various performance indicators. This section also clarifies that the WIOA core programs and certain non-core programs will also calculate a count of unique participants that accounts for those individuals who have more than one period of participation during a reporting period. </w:t>
      </w:r>
    </w:p>
    <w:p w:rsidR="00F37083" w:rsidRDefault="00F37083">
      <w:r>
        <w:t>Slide 6:</w:t>
      </w:r>
    </w:p>
    <w:p w:rsidR="00F37083" w:rsidRPr="00F37083" w:rsidRDefault="00F37083" w:rsidP="00F37083">
      <w:proofErr w:type="gramStart"/>
      <w:r w:rsidRPr="00F37083">
        <w:t>Section  10</w:t>
      </w:r>
      <w:proofErr w:type="gramEnd"/>
      <w:r w:rsidRPr="00F37083">
        <w:t xml:space="preserve"> provides information and resources about how to report using the Workforce Integrated Performance System, or WIPS. This includes a discussion of the discontinuation of old reporting systems.</w:t>
      </w:r>
    </w:p>
    <w:p w:rsidR="00F37083" w:rsidRDefault="00F37083">
      <w:r>
        <w:t>Slide 7:</w:t>
      </w:r>
    </w:p>
    <w:p w:rsidR="00F37083" w:rsidRPr="00F37083" w:rsidRDefault="00F37083" w:rsidP="00F37083">
      <w:proofErr w:type="gramStart"/>
      <w:r w:rsidRPr="00F37083">
        <w:lastRenderedPageBreak/>
        <w:t>Sections  11</w:t>
      </w:r>
      <w:proofErr w:type="gramEnd"/>
      <w:r w:rsidRPr="00F37083">
        <w:t>, 12, and 13 apply primarily to the WIOA title I and III core programs, and highlight existing guidance, requirements, and resources on State Annual Report Narratives, Eligible Training Provider performance reporting, and Pay for Performance reporting.</w:t>
      </w:r>
    </w:p>
    <w:p w:rsidR="00F37083" w:rsidRDefault="00F37083">
      <w:r>
        <w:t>Slide 8:</w:t>
      </w:r>
    </w:p>
    <w:p w:rsidR="00F37083" w:rsidRPr="00F37083" w:rsidRDefault="00F37083" w:rsidP="00F37083">
      <w:proofErr w:type="gramStart"/>
      <w:r w:rsidRPr="00F37083">
        <w:t>Section  14</w:t>
      </w:r>
      <w:proofErr w:type="gramEnd"/>
      <w:r w:rsidRPr="00F37083">
        <w:t xml:space="preserve"> directs non-core programs to their program specific attachments and technical assistance for more information on their requirements regarding quarterly narrative report submission. </w:t>
      </w:r>
    </w:p>
    <w:p w:rsidR="00F37083" w:rsidRDefault="00F37083">
      <w:r>
        <w:t>Slide 9:</w:t>
      </w:r>
    </w:p>
    <w:p w:rsidR="00F37083" w:rsidRPr="00F37083" w:rsidRDefault="00F37083" w:rsidP="00F37083">
      <w:proofErr w:type="gramStart"/>
      <w:r w:rsidRPr="00F37083">
        <w:t>Section  15</w:t>
      </w:r>
      <w:proofErr w:type="gramEnd"/>
      <w:r w:rsidRPr="00F37083">
        <w:t xml:space="preserve"> applies to all programs and describes the requirements for collecting and using Social Security Numbers for the purpose of obtaining direct wage matches, including for programs that had not used wage matching in the past, that are used for reporting performance outcomes. These requirements also have a range of program-specific nuances that are described in the program-specific attachments. </w:t>
      </w:r>
    </w:p>
    <w:p w:rsidR="00F37083" w:rsidRDefault="00F37083">
      <w:r>
        <w:t>Slide 10:</w:t>
      </w:r>
    </w:p>
    <w:p w:rsidR="00F37083" w:rsidRPr="00F37083" w:rsidRDefault="00F37083" w:rsidP="00F37083">
      <w:proofErr w:type="gramStart"/>
      <w:r w:rsidRPr="00F37083">
        <w:t>Section  16</w:t>
      </w:r>
      <w:proofErr w:type="gramEnd"/>
      <w:r w:rsidRPr="00F37083">
        <w:t xml:space="preserve"> provides a brief description of the supplemental wage information requirements, which are described in greater detail in appendix six and TEGL 26-16.</w:t>
      </w:r>
    </w:p>
    <w:p w:rsidR="00F37083" w:rsidRDefault="00F37083">
      <w:r>
        <w:t>Slide 11:</w:t>
      </w:r>
    </w:p>
    <w:p w:rsidR="00F37083" w:rsidRPr="00F37083" w:rsidRDefault="00F37083" w:rsidP="00F37083">
      <w:proofErr w:type="gramStart"/>
      <w:r w:rsidRPr="00F37083">
        <w:t>Section  17</w:t>
      </w:r>
      <w:proofErr w:type="gramEnd"/>
      <w:r w:rsidRPr="00F37083">
        <w:t xml:space="preserve"> explains the requirement for WIOA title I core programs that individuals who receive direct services with statewide funds must be reported by the state. </w:t>
      </w:r>
    </w:p>
    <w:p w:rsidR="00F37083" w:rsidRDefault="00F37083">
      <w:r>
        <w:t>Slide 12:</w:t>
      </w:r>
    </w:p>
    <w:p w:rsidR="00F37083" w:rsidRPr="00F37083" w:rsidRDefault="00F37083" w:rsidP="00F37083">
      <w:proofErr w:type="gramStart"/>
      <w:r w:rsidRPr="00F37083">
        <w:t>Sections  18</w:t>
      </w:r>
      <w:proofErr w:type="gramEnd"/>
      <w:r w:rsidRPr="00F37083">
        <w:t xml:space="preserve"> and 19 delve into detailed guidance that is needed to ensure that information regarding Apprenticeship and Unemployment Insurance are accurately and consistently reported across programs.</w:t>
      </w:r>
    </w:p>
    <w:p w:rsidR="00F37083" w:rsidRDefault="00F37083">
      <w:r>
        <w:t>Slide 13:</w:t>
      </w:r>
    </w:p>
    <w:p w:rsidR="00F37083" w:rsidRPr="00F37083" w:rsidRDefault="00F37083" w:rsidP="00F37083">
      <w:r w:rsidRPr="00F37083">
        <w:t xml:space="preserve">For </w:t>
      </w:r>
      <w:proofErr w:type="gramStart"/>
      <w:r w:rsidRPr="00F37083">
        <w:t>full  details</w:t>
      </w:r>
      <w:proofErr w:type="gramEnd"/>
      <w:r w:rsidRPr="00F37083">
        <w:t xml:space="preserve"> on these topics, grantees should consult the text of the guidance.  We encourage you to read through the guidance package and your specific program attachments. Visit the additional resources, and other web casts in this series for more information.</w:t>
      </w:r>
    </w:p>
    <w:p w:rsidR="00F37083" w:rsidRDefault="00F37083">
      <w:bookmarkStart w:id="0" w:name="_GoBack"/>
      <w:bookmarkEnd w:id="0"/>
    </w:p>
    <w:sectPr w:rsidR="00F37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083"/>
    <w:rsid w:val="004407FF"/>
    <w:rsid w:val="00F37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8F0E"/>
  <w15:chartTrackingRefBased/>
  <w15:docId w15:val="{68692DDC-A375-4553-A006-32124B51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45845">
      <w:bodyDiv w:val="1"/>
      <w:marLeft w:val="0"/>
      <w:marRight w:val="0"/>
      <w:marTop w:val="0"/>
      <w:marBottom w:val="0"/>
      <w:divBdr>
        <w:top w:val="none" w:sz="0" w:space="0" w:color="auto"/>
        <w:left w:val="none" w:sz="0" w:space="0" w:color="auto"/>
        <w:bottom w:val="none" w:sz="0" w:space="0" w:color="auto"/>
        <w:right w:val="none" w:sz="0" w:space="0" w:color="auto"/>
      </w:divBdr>
    </w:div>
    <w:div w:id="392244121">
      <w:bodyDiv w:val="1"/>
      <w:marLeft w:val="0"/>
      <w:marRight w:val="0"/>
      <w:marTop w:val="0"/>
      <w:marBottom w:val="0"/>
      <w:divBdr>
        <w:top w:val="none" w:sz="0" w:space="0" w:color="auto"/>
        <w:left w:val="none" w:sz="0" w:space="0" w:color="auto"/>
        <w:bottom w:val="none" w:sz="0" w:space="0" w:color="auto"/>
        <w:right w:val="none" w:sz="0" w:space="0" w:color="auto"/>
      </w:divBdr>
    </w:div>
    <w:div w:id="451828766">
      <w:bodyDiv w:val="1"/>
      <w:marLeft w:val="0"/>
      <w:marRight w:val="0"/>
      <w:marTop w:val="0"/>
      <w:marBottom w:val="0"/>
      <w:divBdr>
        <w:top w:val="none" w:sz="0" w:space="0" w:color="auto"/>
        <w:left w:val="none" w:sz="0" w:space="0" w:color="auto"/>
        <w:bottom w:val="none" w:sz="0" w:space="0" w:color="auto"/>
        <w:right w:val="none" w:sz="0" w:space="0" w:color="auto"/>
      </w:divBdr>
    </w:div>
    <w:div w:id="577062290">
      <w:bodyDiv w:val="1"/>
      <w:marLeft w:val="0"/>
      <w:marRight w:val="0"/>
      <w:marTop w:val="0"/>
      <w:marBottom w:val="0"/>
      <w:divBdr>
        <w:top w:val="none" w:sz="0" w:space="0" w:color="auto"/>
        <w:left w:val="none" w:sz="0" w:space="0" w:color="auto"/>
        <w:bottom w:val="none" w:sz="0" w:space="0" w:color="auto"/>
        <w:right w:val="none" w:sz="0" w:space="0" w:color="auto"/>
      </w:divBdr>
    </w:div>
    <w:div w:id="702173533">
      <w:bodyDiv w:val="1"/>
      <w:marLeft w:val="0"/>
      <w:marRight w:val="0"/>
      <w:marTop w:val="0"/>
      <w:marBottom w:val="0"/>
      <w:divBdr>
        <w:top w:val="none" w:sz="0" w:space="0" w:color="auto"/>
        <w:left w:val="none" w:sz="0" w:space="0" w:color="auto"/>
        <w:bottom w:val="none" w:sz="0" w:space="0" w:color="auto"/>
        <w:right w:val="none" w:sz="0" w:space="0" w:color="auto"/>
      </w:divBdr>
    </w:div>
    <w:div w:id="856820043">
      <w:bodyDiv w:val="1"/>
      <w:marLeft w:val="0"/>
      <w:marRight w:val="0"/>
      <w:marTop w:val="0"/>
      <w:marBottom w:val="0"/>
      <w:divBdr>
        <w:top w:val="none" w:sz="0" w:space="0" w:color="auto"/>
        <w:left w:val="none" w:sz="0" w:space="0" w:color="auto"/>
        <w:bottom w:val="none" w:sz="0" w:space="0" w:color="auto"/>
        <w:right w:val="none" w:sz="0" w:space="0" w:color="auto"/>
      </w:divBdr>
    </w:div>
    <w:div w:id="1052344261">
      <w:bodyDiv w:val="1"/>
      <w:marLeft w:val="0"/>
      <w:marRight w:val="0"/>
      <w:marTop w:val="0"/>
      <w:marBottom w:val="0"/>
      <w:divBdr>
        <w:top w:val="none" w:sz="0" w:space="0" w:color="auto"/>
        <w:left w:val="none" w:sz="0" w:space="0" w:color="auto"/>
        <w:bottom w:val="none" w:sz="0" w:space="0" w:color="auto"/>
        <w:right w:val="none" w:sz="0" w:space="0" w:color="auto"/>
      </w:divBdr>
    </w:div>
    <w:div w:id="1311059394">
      <w:bodyDiv w:val="1"/>
      <w:marLeft w:val="0"/>
      <w:marRight w:val="0"/>
      <w:marTop w:val="0"/>
      <w:marBottom w:val="0"/>
      <w:divBdr>
        <w:top w:val="none" w:sz="0" w:space="0" w:color="auto"/>
        <w:left w:val="none" w:sz="0" w:space="0" w:color="auto"/>
        <w:bottom w:val="none" w:sz="0" w:space="0" w:color="auto"/>
        <w:right w:val="none" w:sz="0" w:space="0" w:color="auto"/>
      </w:divBdr>
    </w:div>
    <w:div w:id="1596403243">
      <w:bodyDiv w:val="1"/>
      <w:marLeft w:val="0"/>
      <w:marRight w:val="0"/>
      <w:marTop w:val="0"/>
      <w:marBottom w:val="0"/>
      <w:divBdr>
        <w:top w:val="none" w:sz="0" w:space="0" w:color="auto"/>
        <w:left w:val="none" w:sz="0" w:space="0" w:color="auto"/>
        <w:bottom w:val="none" w:sz="0" w:space="0" w:color="auto"/>
        <w:right w:val="none" w:sz="0" w:space="0" w:color="auto"/>
      </w:divBdr>
    </w:div>
    <w:div w:id="1891307359">
      <w:bodyDiv w:val="1"/>
      <w:marLeft w:val="0"/>
      <w:marRight w:val="0"/>
      <w:marTop w:val="0"/>
      <w:marBottom w:val="0"/>
      <w:divBdr>
        <w:top w:val="none" w:sz="0" w:space="0" w:color="auto"/>
        <w:left w:val="none" w:sz="0" w:space="0" w:color="auto"/>
        <w:bottom w:val="none" w:sz="0" w:space="0" w:color="auto"/>
        <w:right w:val="none" w:sz="0" w:space="0" w:color="auto"/>
      </w:divBdr>
    </w:div>
    <w:div w:id="1941908319">
      <w:bodyDiv w:val="1"/>
      <w:marLeft w:val="0"/>
      <w:marRight w:val="0"/>
      <w:marTop w:val="0"/>
      <w:marBottom w:val="0"/>
      <w:divBdr>
        <w:top w:val="none" w:sz="0" w:space="0" w:color="auto"/>
        <w:left w:val="none" w:sz="0" w:space="0" w:color="auto"/>
        <w:bottom w:val="none" w:sz="0" w:space="0" w:color="auto"/>
        <w:right w:val="none" w:sz="0" w:space="0" w:color="auto"/>
      </w:divBdr>
    </w:div>
    <w:div w:id="2076464906">
      <w:bodyDiv w:val="1"/>
      <w:marLeft w:val="0"/>
      <w:marRight w:val="0"/>
      <w:marTop w:val="0"/>
      <w:marBottom w:val="0"/>
      <w:divBdr>
        <w:top w:val="none" w:sz="0" w:space="0" w:color="auto"/>
        <w:left w:val="none" w:sz="0" w:space="0" w:color="auto"/>
        <w:bottom w:val="none" w:sz="0" w:space="0" w:color="auto"/>
        <w:right w:val="none" w:sz="0" w:space="0" w:color="auto"/>
      </w:divBdr>
    </w:div>
    <w:div w:id="212272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1</cp:revision>
  <dcterms:created xsi:type="dcterms:W3CDTF">2019-04-01T15:32:00Z</dcterms:created>
  <dcterms:modified xsi:type="dcterms:W3CDTF">2019-04-01T15:36:00Z</dcterms:modified>
</cp:coreProperties>
</file>