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7FF" w:rsidRDefault="00E12422">
      <w:r>
        <w:t>TEGL 14-18 Webcast: Introduction and Overview</w:t>
      </w:r>
    </w:p>
    <w:p w:rsidR="00E12422" w:rsidRDefault="00E12422">
      <w:r>
        <w:t>Slide 1:</w:t>
      </w:r>
    </w:p>
    <w:p w:rsidR="00E12422" w:rsidRPr="00E12422" w:rsidRDefault="00E12422" w:rsidP="00E12422">
      <w:r w:rsidRPr="00E12422">
        <w:t xml:space="preserve">This is the Department of Labor’s overview webcast on the recently released Training and Employment Guidance Letter (or TEGL) on Aligning Performance Accountability Reporting, Definitions, and Policies Across Workforce Employment and Training Programs Administered by the U.S. Department of Labor. </w:t>
      </w:r>
    </w:p>
    <w:p w:rsidR="00E12422" w:rsidRDefault="00E12422">
      <w:r>
        <w:t>Slide 2:</w:t>
      </w:r>
    </w:p>
    <w:p w:rsidR="00E12422" w:rsidRPr="00E12422" w:rsidRDefault="00E12422" w:rsidP="00E12422">
      <w:r w:rsidRPr="00E12422">
        <w:t xml:space="preserve">This guidance has 3 purposes: </w:t>
      </w:r>
    </w:p>
    <w:p w:rsidR="00E12422" w:rsidRDefault="00E12422">
      <w:r>
        <w:t>Slide 3:</w:t>
      </w:r>
    </w:p>
    <w:p w:rsidR="00E12422" w:rsidRPr="00E12422" w:rsidRDefault="00E12422" w:rsidP="00E12422">
      <w:r w:rsidRPr="00E12422">
        <w:t xml:space="preserve">(1) is to align and streamline performance indicators and requirements across 15 DOL programs to the performance indicators of the Workforce Innovation and Opportunity Act (or WIOA); </w:t>
      </w:r>
    </w:p>
    <w:p w:rsidR="00E12422" w:rsidRDefault="00E12422">
      <w:r>
        <w:t>Slide 4:</w:t>
      </w:r>
    </w:p>
    <w:p w:rsidR="00E12422" w:rsidRPr="00E12422" w:rsidRDefault="00E12422" w:rsidP="00E12422">
      <w:r w:rsidRPr="00E12422">
        <w:t xml:space="preserve">(2) is to rescind and eliminate outdated performance guidance for these 15 programs; </w:t>
      </w:r>
    </w:p>
    <w:p w:rsidR="00E12422" w:rsidRDefault="00E12422">
      <w:r>
        <w:t>Slide 5:</w:t>
      </w:r>
    </w:p>
    <w:p w:rsidR="00E12422" w:rsidRPr="00E12422" w:rsidRDefault="00E12422" w:rsidP="00E12422">
      <w:r w:rsidRPr="00E12422">
        <w:t xml:space="preserve">and (3) is to clarify existing Employment and Training Administration performance accountability policies that changed due to WIOA. </w:t>
      </w:r>
    </w:p>
    <w:p w:rsidR="00E12422" w:rsidRDefault="00E12422">
      <w:r>
        <w:t>Slide 6:</w:t>
      </w:r>
    </w:p>
    <w:p w:rsidR="00E12422" w:rsidRPr="00E12422" w:rsidRDefault="00E12422" w:rsidP="00E12422">
      <w:r w:rsidRPr="00E12422">
        <w:t xml:space="preserve">Understanding the structure of this guidance may be helpful in your own review of its contents.  The guidance draws largely on TEGL 10-16, change 1, which is the Joint guidance and WIOA final rules issued by the US Departments of Labor and Education on the WIOA core programs performance accountability. </w:t>
      </w:r>
    </w:p>
    <w:p w:rsidR="00E12422" w:rsidRPr="00E12422" w:rsidRDefault="00E12422" w:rsidP="00E12422">
      <w:r w:rsidRPr="00E12422">
        <w:t xml:space="preserve">The body of this TEGL contains shared guidance for the 15 DOL programs including DOL’s WIOA core programs and DOL’s non-core programs.  In addition, there are also 7 appendices and 11 attachments.  The distinction between appendices and attachments in this case is that appendices contain information that is relevant to all or most of the programs in this guidance, while each attachment is specific to one program.  The program specific attachments explain unique features of each program’s performance, illustrating how the general guidance applies to that </w:t>
      </w:r>
      <w:proofErr w:type="gramStart"/>
      <w:r w:rsidRPr="00E12422">
        <w:t>particular program</w:t>
      </w:r>
      <w:proofErr w:type="gramEnd"/>
      <w:r w:rsidRPr="00E12422">
        <w:t xml:space="preserve">.  </w:t>
      </w:r>
    </w:p>
    <w:p w:rsidR="00E12422" w:rsidRPr="00E12422" w:rsidRDefault="00E12422" w:rsidP="00E12422">
      <w:r w:rsidRPr="00E12422">
        <w:t xml:space="preserve">How should you review this guidance?  When approaching the guidance from an individual program perspective, focus primarily on: </w:t>
      </w:r>
    </w:p>
    <w:p w:rsidR="00E12422" w:rsidRPr="00E12422" w:rsidRDefault="00E12422" w:rsidP="00E12422">
      <w:r w:rsidRPr="00E12422">
        <w:t>(1) program specific attachment;</w:t>
      </w:r>
    </w:p>
    <w:p w:rsidR="00E12422" w:rsidRPr="00E12422" w:rsidRDefault="00E12422" w:rsidP="00E12422">
      <w:r w:rsidRPr="00E12422">
        <w:t xml:space="preserve">(2) main body of the guidance; </w:t>
      </w:r>
    </w:p>
    <w:p w:rsidR="00E12422" w:rsidRPr="00E12422" w:rsidRDefault="00E12422" w:rsidP="00E12422">
      <w:r w:rsidRPr="00E12422">
        <w:t>(3) appendix I; and then</w:t>
      </w:r>
    </w:p>
    <w:p w:rsidR="00E12422" w:rsidRPr="00E12422" w:rsidRDefault="00E12422" w:rsidP="00E12422">
      <w:r w:rsidRPr="00E12422">
        <w:t xml:space="preserve">(4) the rest of the appendices. </w:t>
      </w:r>
    </w:p>
    <w:p w:rsidR="00E12422" w:rsidRDefault="00E12422">
      <w:r>
        <w:t>Slide 7:</w:t>
      </w:r>
    </w:p>
    <w:p w:rsidR="00E12422" w:rsidRPr="00E12422" w:rsidRDefault="00E12422" w:rsidP="00E12422">
      <w:r w:rsidRPr="00E12422">
        <w:t xml:space="preserve">The </w:t>
      </w:r>
      <w:proofErr w:type="gramStart"/>
      <w:r w:rsidRPr="00E12422">
        <w:t>following  DOL</w:t>
      </w:r>
      <w:proofErr w:type="gramEnd"/>
      <w:r w:rsidRPr="00E12422">
        <w:t xml:space="preserve"> programs have program-specific attachments:</w:t>
      </w:r>
    </w:p>
    <w:p w:rsidR="00E12422" w:rsidRPr="00E12422" w:rsidRDefault="00E12422" w:rsidP="00E12422">
      <w:pPr>
        <w:pStyle w:val="ListParagraph"/>
        <w:numPr>
          <w:ilvl w:val="0"/>
          <w:numId w:val="3"/>
        </w:numPr>
      </w:pPr>
      <w:r w:rsidRPr="00E12422">
        <w:lastRenderedPageBreak/>
        <w:t xml:space="preserve">H-1B grants, </w:t>
      </w:r>
    </w:p>
    <w:p w:rsidR="00E12422" w:rsidRPr="00E12422" w:rsidRDefault="00E12422" w:rsidP="00E12422">
      <w:pPr>
        <w:pStyle w:val="ListParagraph"/>
        <w:numPr>
          <w:ilvl w:val="0"/>
          <w:numId w:val="3"/>
        </w:numPr>
      </w:pPr>
      <w:r w:rsidRPr="00E12422">
        <w:t xml:space="preserve">the Indian and Native American Program, </w:t>
      </w:r>
    </w:p>
    <w:p w:rsidR="00E12422" w:rsidRPr="00E12422" w:rsidRDefault="00E12422" w:rsidP="00E12422">
      <w:pPr>
        <w:pStyle w:val="ListParagraph"/>
        <w:numPr>
          <w:ilvl w:val="0"/>
          <w:numId w:val="3"/>
        </w:numPr>
      </w:pPr>
      <w:r w:rsidRPr="00E12422">
        <w:t xml:space="preserve">Job Corps, </w:t>
      </w:r>
    </w:p>
    <w:p w:rsidR="00E12422" w:rsidRPr="00E12422" w:rsidRDefault="00E12422" w:rsidP="00E12422">
      <w:pPr>
        <w:pStyle w:val="ListParagraph"/>
        <w:numPr>
          <w:ilvl w:val="0"/>
          <w:numId w:val="3"/>
        </w:numPr>
      </w:pPr>
      <w:r w:rsidRPr="00E12422">
        <w:t xml:space="preserve">Jobs for Veterans State Grants, </w:t>
      </w:r>
    </w:p>
    <w:p w:rsidR="00E12422" w:rsidRPr="00E12422" w:rsidRDefault="00E12422" w:rsidP="00E12422">
      <w:pPr>
        <w:pStyle w:val="ListParagraph"/>
        <w:numPr>
          <w:ilvl w:val="0"/>
          <w:numId w:val="3"/>
        </w:numPr>
      </w:pPr>
      <w:r w:rsidRPr="00E12422">
        <w:t xml:space="preserve">the Monitor Advocate System, </w:t>
      </w:r>
    </w:p>
    <w:p w:rsidR="00E12422" w:rsidRPr="00E12422" w:rsidRDefault="00E12422" w:rsidP="00E12422">
      <w:pPr>
        <w:pStyle w:val="ListParagraph"/>
        <w:numPr>
          <w:ilvl w:val="0"/>
          <w:numId w:val="3"/>
        </w:numPr>
      </w:pPr>
      <w:r w:rsidRPr="00E12422">
        <w:t xml:space="preserve">National Dislocated Worker Grants, </w:t>
      </w:r>
    </w:p>
    <w:p w:rsidR="00E12422" w:rsidRPr="00E12422" w:rsidRDefault="00E12422" w:rsidP="00E12422">
      <w:pPr>
        <w:pStyle w:val="ListParagraph"/>
        <w:numPr>
          <w:ilvl w:val="0"/>
          <w:numId w:val="3"/>
        </w:numPr>
      </w:pPr>
      <w:r w:rsidRPr="00E12422">
        <w:t xml:space="preserve">the National Farmworker Jobs Program, </w:t>
      </w:r>
    </w:p>
    <w:p w:rsidR="00E12422" w:rsidRPr="00E12422" w:rsidRDefault="00E12422" w:rsidP="00E12422">
      <w:pPr>
        <w:pStyle w:val="ListParagraph"/>
        <w:numPr>
          <w:ilvl w:val="0"/>
          <w:numId w:val="3"/>
        </w:numPr>
      </w:pPr>
      <w:r w:rsidRPr="00E12422">
        <w:t>Re-entry Opportunities Grants,</w:t>
      </w:r>
    </w:p>
    <w:p w:rsidR="00E12422" w:rsidRPr="00E12422" w:rsidRDefault="00E12422" w:rsidP="00E12422">
      <w:pPr>
        <w:pStyle w:val="ListParagraph"/>
        <w:numPr>
          <w:ilvl w:val="0"/>
          <w:numId w:val="3"/>
        </w:numPr>
      </w:pPr>
      <w:r w:rsidRPr="00E12422">
        <w:t>the Senior Community Service Employment Program,</w:t>
      </w:r>
    </w:p>
    <w:p w:rsidR="00E12422" w:rsidRPr="00E12422" w:rsidRDefault="00E12422" w:rsidP="00E12422">
      <w:pPr>
        <w:pStyle w:val="ListParagraph"/>
        <w:numPr>
          <w:ilvl w:val="0"/>
          <w:numId w:val="3"/>
        </w:numPr>
      </w:pPr>
      <w:r w:rsidRPr="00E12422">
        <w:t xml:space="preserve">Trade Adjustment Assistance, and </w:t>
      </w:r>
    </w:p>
    <w:p w:rsidR="00E12422" w:rsidRPr="00E12422" w:rsidRDefault="00E12422" w:rsidP="00E12422">
      <w:pPr>
        <w:pStyle w:val="ListParagraph"/>
        <w:numPr>
          <w:ilvl w:val="0"/>
          <w:numId w:val="3"/>
        </w:numPr>
      </w:pPr>
      <w:r w:rsidRPr="00E12422">
        <w:t xml:space="preserve">YouthBuild grants. </w:t>
      </w:r>
    </w:p>
    <w:p w:rsidR="00E12422" w:rsidRDefault="00E12422">
      <w:r>
        <w:t>Slide 8:</w:t>
      </w:r>
    </w:p>
    <w:p w:rsidR="00E12422" w:rsidRPr="00E12422" w:rsidRDefault="00E12422" w:rsidP="00E12422">
      <w:r w:rsidRPr="00E12422">
        <w:t>You may be thinking that this is quite a bit of information, but don’t be overwhelmed. We can break it down for you.  The main body of this guidance covers performance related topics including:  definitions; the performance indicators; categories of enrollment including reportable individuals, participants, and exit; self-service and information-only activities and services; period of participation; reporting using the Workforce Integrated Performance System (or WIPS); various topics specific to DOL’s WIOA core programs; quarterly narrative reports; using social security numbers and direct wage matching for performance reporting; supplemental wage information; reporting on individuals served with statewide funds; and linkages with registered apprenticeship and unemployment insurance.  You will recognize some new areas, as well as a lot of familiar topics from the guidance in TEGL 10-16, change 1.</w:t>
      </w:r>
    </w:p>
    <w:p w:rsidR="00E12422" w:rsidRDefault="00E12422">
      <w:r>
        <w:t>Slide 9:</w:t>
      </w:r>
    </w:p>
    <w:p w:rsidR="00E12422" w:rsidRPr="00E12422" w:rsidRDefault="00E12422" w:rsidP="00E12422">
      <w:r w:rsidRPr="00E12422">
        <w:t xml:space="preserve">You can also find guidance on </w:t>
      </w:r>
      <w:proofErr w:type="gramStart"/>
      <w:r w:rsidRPr="00E12422">
        <w:t>special topics</w:t>
      </w:r>
      <w:proofErr w:type="gramEnd"/>
      <w:r w:rsidRPr="00E12422">
        <w:t xml:space="preserve"> and tools relating to performance reporting in the appendices.  Appendix I provides guidance on the primary indicators of performance and is aligned to TEGL 10-16, change 1.  Appendix II provides guidance on additional shared definitions.  Appendix III is a tool that provides charts for different programs defining which services make someone a participant in those programs.  Appendix IV provides charts that highlight which elements in the Participant Individual Record Layout, or PIRL, are used in the calculations that generate each of the primary indicators of performance.  Appendix V provides a visual tool demonstrating the reporting cohorts for each measure that correspond to different periods of performance.  Appendix VI provides guidance on supplemental wage information that is aligned to TEGL 26-16.  And Appendix VII is references.</w:t>
      </w:r>
    </w:p>
    <w:p w:rsidR="00E12422" w:rsidRDefault="00E12422">
      <w:r>
        <w:t>Slide 10:</w:t>
      </w:r>
    </w:p>
    <w:p w:rsidR="00E12422" w:rsidRPr="00E12422" w:rsidRDefault="00E12422" w:rsidP="00E12422">
      <w:r w:rsidRPr="00E12422">
        <w:t>We encourage you to read through the guidance package and your specific program attachments. Visit the additional resources, and other web casts in this series for more information.</w:t>
      </w:r>
    </w:p>
    <w:p w:rsidR="00E12422" w:rsidRDefault="00E12422">
      <w:bookmarkStart w:id="0" w:name="_GoBack"/>
      <w:bookmarkEnd w:id="0"/>
    </w:p>
    <w:sectPr w:rsidR="00E124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A4E33"/>
    <w:multiLevelType w:val="hybridMultilevel"/>
    <w:tmpl w:val="7AAA4814"/>
    <w:lvl w:ilvl="0" w:tplc="0CB8379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0063CD"/>
    <w:multiLevelType w:val="hybridMultilevel"/>
    <w:tmpl w:val="040EF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EB3DFC"/>
    <w:multiLevelType w:val="hybridMultilevel"/>
    <w:tmpl w:val="A98869DE"/>
    <w:lvl w:ilvl="0" w:tplc="0CB8379C">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22"/>
    <w:rsid w:val="004407FF"/>
    <w:rsid w:val="00E12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6AA10"/>
  <w15:chartTrackingRefBased/>
  <w15:docId w15:val="{EC24C082-D2CA-4300-9F92-C4C06C1F6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4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00470">
      <w:bodyDiv w:val="1"/>
      <w:marLeft w:val="0"/>
      <w:marRight w:val="0"/>
      <w:marTop w:val="0"/>
      <w:marBottom w:val="0"/>
      <w:divBdr>
        <w:top w:val="none" w:sz="0" w:space="0" w:color="auto"/>
        <w:left w:val="none" w:sz="0" w:space="0" w:color="auto"/>
        <w:bottom w:val="none" w:sz="0" w:space="0" w:color="auto"/>
        <w:right w:val="none" w:sz="0" w:space="0" w:color="auto"/>
      </w:divBdr>
    </w:div>
    <w:div w:id="627591597">
      <w:bodyDiv w:val="1"/>
      <w:marLeft w:val="0"/>
      <w:marRight w:val="0"/>
      <w:marTop w:val="0"/>
      <w:marBottom w:val="0"/>
      <w:divBdr>
        <w:top w:val="none" w:sz="0" w:space="0" w:color="auto"/>
        <w:left w:val="none" w:sz="0" w:space="0" w:color="auto"/>
        <w:bottom w:val="none" w:sz="0" w:space="0" w:color="auto"/>
        <w:right w:val="none" w:sz="0" w:space="0" w:color="auto"/>
      </w:divBdr>
    </w:div>
    <w:div w:id="634795831">
      <w:bodyDiv w:val="1"/>
      <w:marLeft w:val="0"/>
      <w:marRight w:val="0"/>
      <w:marTop w:val="0"/>
      <w:marBottom w:val="0"/>
      <w:divBdr>
        <w:top w:val="none" w:sz="0" w:space="0" w:color="auto"/>
        <w:left w:val="none" w:sz="0" w:space="0" w:color="auto"/>
        <w:bottom w:val="none" w:sz="0" w:space="0" w:color="auto"/>
        <w:right w:val="none" w:sz="0" w:space="0" w:color="auto"/>
      </w:divBdr>
    </w:div>
    <w:div w:id="946154594">
      <w:bodyDiv w:val="1"/>
      <w:marLeft w:val="0"/>
      <w:marRight w:val="0"/>
      <w:marTop w:val="0"/>
      <w:marBottom w:val="0"/>
      <w:divBdr>
        <w:top w:val="none" w:sz="0" w:space="0" w:color="auto"/>
        <w:left w:val="none" w:sz="0" w:space="0" w:color="auto"/>
        <w:bottom w:val="none" w:sz="0" w:space="0" w:color="auto"/>
        <w:right w:val="none" w:sz="0" w:space="0" w:color="auto"/>
      </w:divBdr>
    </w:div>
    <w:div w:id="961616287">
      <w:bodyDiv w:val="1"/>
      <w:marLeft w:val="0"/>
      <w:marRight w:val="0"/>
      <w:marTop w:val="0"/>
      <w:marBottom w:val="0"/>
      <w:divBdr>
        <w:top w:val="none" w:sz="0" w:space="0" w:color="auto"/>
        <w:left w:val="none" w:sz="0" w:space="0" w:color="auto"/>
        <w:bottom w:val="none" w:sz="0" w:space="0" w:color="auto"/>
        <w:right w:val="none" w:sz="0" w:space="0" w:color="auto"/>
      </w:divBdr>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
    <w:div w:id="1536111505">
      <w:bodyDiv w:val="1"/>
      <w:marLeft w:val="0"/>
      <w:marRight w:val="0"/>
      <w:marTop w:val="0"/>
      <w:marBottom w:val="0"/>
      <w:divBdr>
        <w:top w:val="none" w:sz="0" w:space="0" w:color="auto"/>
        <w:left w:val="none" w:sz="0" w:space="0" w:color="auto"/>
        <w:bottom w:val="none" w:sz="0" w:space="0" w:color="auto"/>
        <w:right w:val="none" w:sz="0" w:space="0" w:color="auto"/>
      </w:divBdr>
    </w:div>
    <w:div w:id="1627005540">
      <w:bodyDiv w:val="1"/>
      <w:marLeft w:val="0"/>
      <w:marRight w:val="0"/>
      <w:marTop w:val="0"/>
      <w:marBottom w:val="0"/>
      <w:divBdr>
        <w:top w:val="none" w:sz="0" w:space="0" w:color="auto"/>
        <w:left w:val="none" w:sz="0" w:space="0" w:color="auto"/>
        <w:bottom w:val="none" w:sz="0" w:space="0" w:color="auto"/>
        <w:right w:val="none" w:sz="0" w:space="0" w:color="auto"/>
      </w:divBdr>
    </w:div>
    <w:div w:id="1844516480">
      <w:bodyDiv w:val="1"/>
      <w:marLeft w:val="0"/>
      <w:marRight w:val="0"/>
      <w:marTop w:val="0"/>
      <w:marBottom w:val="0"/>
      <w:divBdr>
        <w:top w:val="none" w:sz="0" w:space="0" w:color="auto"/>
        <w:left w:val="none" w:sz="0" w:space="0" w:color="auto"/>
        <w:bottom w:val="none" w:sz="0" w:space="0" w:color="auto"/>
        <w:right w:val="none" w:sz="0" w:space="0" w:color="auto"/>
      </w:divBdr>
    </w:div>
    <w:div w:id="201025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656</Words>
  <Characters>3742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Vehlow</dc:creator>
  <cp:keywords/>
  <dc:description/>
  <cp:lastModifiedBy>Jonathan Vehlow</cp:lastModifiedBy>
  <cp:revision>1</cp:revision>
  <dcterms:created xsi:type="dcterms:W3CDTF">2019-04-01T15:29:00Z</dcterms:created>
  <dcterms:modified xsi:type="dcterms:W3CDTF">2019-04-01T15:32:00Z</dcterms:modified>
</cp:coreProperties>
</file>