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39E4" w:rsidRDefault="00F42025">
      <w:r w:rsidRPr="00F42025">
        <w:t>Aligning Performance Accountability Reporting, Definitions, and Policies Across Workforce Employment and Training Programs Administered by the U.S. Department of Labor</w:t>
      </w:r>
    </w:p>
    <w:p w:rsidR="00F42025" w:rsidRPr="00F42025" w:rsidRDefault="00F42025" w:rsidP="00F42025">
      <w:r w:rsidRPr="00F42025">
        <w:t>Webcast 4:  Appendix II - V</w:t>
      </w:r>
    </w:p>
    <w:p w:rsidR="00F42025" w:rsidRDefault="00F42025" w:rsidP="00F42025">
      <w:r>
        <w:t xml:space="preserve">Slide 1: </w:t>
      </w:r>
    </w:p>
    <w:p w:rsidR="00F42025" w:rsidRDefault="00F42025" w:rsidP="00F42025">
      <w:r w:rsidRPr="00F42025">
        <w:t>This is the Department of Labor’s webcast for Appendices 2 through 5 of the recently released guidance, Training and Employment Guidance Letter, or TEGL, 14-18 Aligning Performance Accountability Reporting, Definitions, and Policies Across Workforce Employment and Training Programs Administered by the U.S. Department of Labor.</w:t>
      </w:r>
    </w:p>
    <w:p w:rsidR="00F42025" w:rsidRDefault="00F42025" w:rsidP="00F42025">
      <w:r>
        <w:t>Slide 2:</w:t>
      </w:r>
    </w:p>
    <w:p w:rsidR="00F42025" w:rsidRPr="00F42025" w:rsidRDefault="00F42025" w:rsidP="00F42025">
      <w:proofErr w:type="gramStart"/>
      <w:r w:rsidRPr="00F42025">
        <w:t>Appendix  2</w:t>
      </w:r>
      <w:proofErr w:type="gramEnd"/>
      <w:r w:rsidRPr="00F42025">
        <w:t xml:space="preserve"> provides some definitions of terms related to performance accountability that are relevant to this guidance. </w:t>
      </w:r>
    </w:p>
    <w:p w:rsidR="00F42025" w:rsidRDefault="00F42025" w:rsidP="00F42025">
      <w:r>
        <w:t>Slide 3:</w:t>
      </w:r>
    </w:p>
    <w:p w:rsidR="00F42025" w:rsidRPr="00F42025" w:rsidRDefault="00F42025" w:rsidP="00F42025">
      <w:proofErr w:type="gramStart"/>
      <w:r w:rsidRPr="00F42025">
        <w:t>This  includes</w:t>
      </w:r>
      <w:proofErr w:type="gramEnd"/>
      <w:r w:rsidRPr="00F42025">
        <w:t xml:space="preserve"> definitions of Common exit, Customized Training, Employment, Incumbent Worker, Non-core Programs, Participant Individual Record Layout or PIRL, Period of Participation, Secondary School Diploma, and Unsubsidized employment.</w:t>
      </w:r>
    </w:p>
    <w:p w:rsidR="00F42025" w:rsidRDefault="00F42025" w:rsidP="00F42025">
      <w:r>
        <w:t>Slide 4:</w:t>
      </w:r>
    </w:p>
    <w:p w:rsidR="00F42025" w:rsidRPr="00F42025" w:rsidRDefault="00F42025" w:rsidP="00F42025">
      <w:proofErr w:type="gramStart"/>
      <w:r w:rsidRPr="00F42025">
        <w:t>Appendix  3</w:t>
      </w:r>
      <w:proofErr w:type="gramEnd"/>
      <w:r w:rsidRPr="00F42025">
        <w:t xml:space="preserve"> is applicable only to the Indian and Native American Program, National Dislocated Worker Grants, National Farmworker Jobs Program, and Trade Adjustment Assistance. </w:t>
      </w:r>
    </w:p>
    <w:p w:rsidR="00F42025" w:rsidRDefault="00F42025" w:rsidP="00F42025">
      <w:r>
        <w:t>Slide 5:</w:t>
      </w:r>
    </w:p>
    <w:p w:rsidR="00F42025" w:rsidRPr="00F42025" w:rsidRDefault="00F42025" w:rsidP="00F42025">
      <w:proofErr w:type="gramStart"/>
      <w:r w:rsidRPr="00F42025">
        <w:t>This  appendix</w:t>
      </w:r>
      <w:proofErr w:type="gramEnd"/>
      <w:r w:rsidRPr="00F42025">
        <w:t xml:space="preserve"> provides program specific tables that list each allowable service type and define whether it triggers participation for that program, what service category the service fits into, and which PIRL elements are applicable to that service. </w:t>
      </w:r>
    </w:p>
    <w:p w:rsidR="00F42025" w:rsidRDefault="00F42025" w:rsidP="00F42025">
      <w:r>
        <w:t>Slide 6:</w:t>
      </w:r>
    </w:p>
    <w:p w:rsidR="00F42025" w:rsidRPr="00F42025" w:rsidRDefault="00F42025" w:rsidP="00F42025">
      <w:proofErr w:type="gramStart"/>
      <w:r w:rsidRPr="00F42025">
        <w:t>Appendix  4</w:t>
      </w:r>
      <w:proofErr w:type="gramEnd"/>
      <w:r w:rsidRPr="00F42025">
        <w:t xml:space="preserve"> is a chart that lists which PIRL elements are used as part of the calculation for each of the primary indicators of performance. </w:t>
      </w:r>
    </w:p>
    <w:p w:rsidR="00F42025" w:rsidRDefault="00F42025" w:rsidP="00F42025">
      <w:r>
        <w:t>Slide 7:</w:t>
      </w:r>
    </w:p>
    <w:p w:rsidR="00F42025" w:rsidRPr="00F42025" w:rsidRDefault="00F42025" w:rsidP="00F42025">
      <w:proofErr w:type="gramStart"/>
      <w:r w:rsidRPr="00F42025">
        <w:t>You’ll  note</w:t>
      </w:r>
      <w:proofErr w:type="gramEnd"/>
      <w:r w:rsidRPr="00F42025">
        <w:t xml:space="preserve"> that this is merely a list of the elements that are a part of the calculation of these indicators, not the calculation itself. It is important to note which elements are involved in the calculation as it emphasizes the added importance of reporting these elements accurately and completely. </w:t>
      </w:r>
    </w:p>
    <w:p w:rsidR="00F42025" w:rsidRDefault="00F42025" w:rsidP="00F42025">
      <w:r>
        <w:t>Slide 8:</w:t>
      </w:r>
    </w:p>
    <w:p w:rsidR="00F42025" w:rsidRPr="00F42025" w:rsidRDefault="00F42025" w:rsidP="00F42025">
      <w:proofErr w:type="gramStart"/>
      <w:r w:rsidRPr="00F42025">
        <w:t>Appendix  5</w:t>
      </w:r>
      <w:proofErr w:type="gramEnd"/>
      <w:r w:rsidRPr="00F42025">
        <w:t xml:space="preserve"> is a resource for understanding Periods of Performance Reporting Cohorts. </w:t>
      </w:r>
    </w:p>
    <w:p w:rsidR="00F42025" w:rsidRDefault="00F42025" w:rsidP="00F42025">
      <w:r>
        <w:t>Slide 9:</w:t>
      </w:r>
    </w:p>
    <w:p w:rsidR="00F42025" w:rsidRPr="00F42025" w:rsidRDefault="00F42025" w:rsidP="00F42025">
      <w:proofErr w:type="gramStart"/>
      <w:r w:rsidRPr="00F42025">
        <w:lastRenderedPageBreak/>
        <w:t>This  resource</w:t>
      </w:r>
      <w:proofErr w:type="gramEnd"/>
      <w:r w:rsidRPr="00F42025">
        <w:t xml:space="preserve"> is a tool that uses a color coded chart to visualize which cohorts of individuals are reported in which reporting periods for each of the performance indicators and major calculations in the performance reports. </w:t>
      </w:r>
    </w:p>
    <w:p w:rsidR="00F42025" w:rsidRDefault="00F42025">
      <w:r>
        <w:t>Slide 10:</w:t>
      </w:r>
    </w:p>
    <w:p w:rsidR="00F42025" w:rsidRPr="00F42025" w:rsidRDefault="00F42025" w:rsidP="00F42025">
      <w:proofErr w:type="gramStart"/>
      <w:r w:rsidRPr="00F42025">
        <w:t>As  a</w:t>
      </w:r>
      <w:proofErr w:type="gramEnd"/>
      <w:r w:rsidRPr="00F42025">
        <w:t xml:space="preserve"> specific example of how to read appendix 5, for an individual named John who exits between October and December of 2017, you can see that for the employment rate 2nd quarter after exit the cell color is the 2nd lightest shade of green. The quarterly report period that has the matching color is October to December of 2018, so that report quarter ending December of 2018 is when John’s 2nd quarter after exit outcomes would be reported. Similarly, you can see that the credential attainment rate cell in John’s exit quarter is dark green, meaning that John will be in the cohort of individuals whose credential attainment will be reported in the April through June of 2019 reporting quarter. </w:t>
      </w:r>
    </w:p>
    <w:p w:rsidR="00F42025" w:rsidRDefault="00F42025">
      <w:r>
        <w:t>Slide 11:</w:t>
      </w:r>
    </w:p>
    <w:p w:rsidR="00F42025" w:rsidRPr="00F42025" w:rsidRDefault="00F42025" w:rsidP="00F42025">
      <w:proofErr w:type="gramStart"/>
      <w:r w:rsidRPr="00F42025">
        <w:t>Finally ,</w:t>
      </w:r>
      <w:proofErr w:type="gramEnd"/>
      <w:r w:rsidRPr="00F42025">
        <w:t xml:space="preserve"> page 2 of Appendix 5 also includes an example, which walks through the various cohorts that would be included in a Quarterly report, based on the lags defined in this chart. </w:t>
      </w:r>
    </w:p>
    <w:p w:rsidR="00F42025" w:rsidRDefault="00F42025">
      <w:r>
        <w:t>Slide 12:</w:t>
      </w:r>
    </w:p>
    <w:p w:rsidR="00F42025" w:rsidRDefault="00F42025">
      <w:r w:rsidRPr="00F42025">
        <w:t xml:space="preserve">The Department has produced numerous resources and tools for understanding performance reporting, some of which are </w:t>
      </w:r>
      <w:proofErr w:type="gramStart"/>
      <w:r w:rsidRPr="00F42025">
        <w:t>similar to</w:t>
      </w:r>
      <w:proofErr w:type="gramEnd"/>
      <w:r w:rsidRPr="00F42025">
        <w:t xml:space="preserve"> these appendices, so in addition to reading these appendices you can also find links to these additional resources below the link to this video.  We encourage you to read through the guidance package and your specific program attachments.  Visit these additional resources, and other web casts in this series for more information.</w:t>
      </w:r>
      <w:bookmarkStart w:id="0" w:name="_GoBack"/>
      <w:bookmarkEnd w:id="0"/>
    </w:p>
    <w:sectPr w:rsidR="00F42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025"/>
    <w:rsid w:val="00E739E4"/>
    <w:rsid w:val="00F42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33DD1"/>
  <w15:chartTrackingRefBased/>
  <w15:docId w15:val="{26D7382A-002D-4DE0-B2FC-B66219D5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20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669194">
      <w:bodyDiv w:val="1"/>
      <w:marLeft w:val="0"/>
      <w:marRight w:val="0"/>
      <w:marTop w:val="0"/>
      <w:marBottom w:val="0"/>
      <w:divBdr>
        <w:top w:val="none" w:sz="0" w:space="0" w:color="auto"/>
        <w:left w:val="none" w:sz="0" w:space="0" w:color="auto"/>
        <w:bottom w:val="none" w:sz="0" w:space="0" w:color="auto"/>
        <w:right w:val="none" w:sz="0" w:space="0" w:color="auto"/>
      </w:divBdr>
    </w:div>
    <w:div w:id="998189438">
      <w:bodyDiv w:val="1"/>
      <w:marLeft w:val="0"/>
      <w:marRight w:val="0"/>
      <w:marTop w:val="0"/>
      <w:marBottom w:val="0"/>
      <w:divBdr>
        <w:top w:val="none" w:sz="0" w:space="0" w:color="auto"/>
        <w:left w:val="none" w:sz="0" w:space="0" w:color="auto"/>
        <w:bottom w:val="none" w:sz="0" w:space="0" w:color="auto"/>
        <w:right w:val="none" w:sz="0" w:space="0" w:color="auto"/>
      </w:divBdr>
    </w:div>
    <w:div w:id="1251162449">
      <w:bodyDiv w:val="1"/>
      <w:marLeft w:val="0"/>
      <w:marRight w:val="0"/>
      <w:marTop w:val="0"/>
      <w:marBottom w:val="0"/>
      <w:divBdr>
        <w:top w:val="none" w:sz="0" w:space="0" w:color="auto"/>
        <w:left w:val="none" w:sz="0" w:space="0" w:color="auto"/>
        <w:bottom w:val="none" w:sz="0" w:space="0" w:color="auto"/>
        <w:right w:val="none" w:sz="0" w:space="0" w:color="auto"/>
      </w:divBdr>
    </w:div>
    <w:div w:id="1296913597">
      <w:bodyDiv w:val="1"/>
      <w:marLeft w:val="0"/>
      <w:marRight w:val="0"/>
      <w:marTop w:val="0"/>
      <w:marBottom w:val="0"/>
      <w:divBdr>
        <w:top w:val="none" w:sz="0" w:space="0" w:color="auto"/>
        <w:left w:val="none" w:sz="0" w:space="0" w:color="auto"/>
        <w:bottom w:val="none" w:sz="0" w:space="0" w:color="auto"/>
        <w:right w:val="none" w:sz="0" w:space="0" w:color="auto"/>
      </w:divBdr>
    </w:div>
    <w:div w:id="1336835212">
      <w:bodyDiv w:val="1"/>
      <w:marLeft w:val="0"/>
      <w:marRight w:val="0"/>
      <w:marTop w:val="0"/>
      <w:marBottom w:val="0"/>
      <w:divBdr>
        <w:top w:val="none" w:sz="0" w:space="0" w:color="auto"/>
        <w:left w:val="none" w:sz="0" w:space="0" w:color="auto"/>
        <w:bottom w:val="none" w:sz="0" w:space="0" w:color="auto"/>
        <w:right w:val="none" w:sz="0" w:space="0" w:color="auto"/>
      </w:divBdr>
    </w:div>
    <w:div w:id="1415085561">
      <w:bodyDiv w:val="1"/>
      <w:marLeft w:val="0"/>
      <w:marRight w:val="0"/>
      <w:marTop w:val="0"/>
      <w:marBottom w:val="0"/>
      <w:divBdr>
        <w:top w:val="none" w:sz="0" w:space="0" w:color="auto"/>
        <w:left w:val="none" w:sz="0" w:space="0" w:color="auto"/>
        <w:bottom w:val="none" w:sz="0" w:space="0" w:color="auto"/>
        <w:right w:val="none" w:sz="0" w:space="0" w:color="auto"/>
      </w:divBdr>
    </w:div>
    <w:div w:id="1627085698">
      <w:bodyDiv w:val="1"/>
      <w:marLeft w:val="0"/>
      <w:marRight w:val="0"/>
      <w:marTop w:val="0"/>
      <w:marBottom w:val="0"/>
      <w:divBdr>
        <w:top w:val="none" w:sz="0" w:space="0" w:color="auto"/>
        <w:left w:val="none" w:sz="0" w:space="0" w:color="auto"/>
        <w:bottom w:val="none" w:sz="0" w:space="0" w:color="auto"/>
        <w:right w:val="none" w:sz="0" w:space="0" w:color="auto"/>
      </w:divBdr>
    </w:div>
    <w:div w:id="1730808357">
      <w:bodyDiv w:val="1"/>
      <w:marLeft w:val="0"/>
      <w:marRight w:val="0"/>
      <w:marTop w:val="0"/>
      <w:marBottom w:val="0"/>
      <w:divBdr>
        <w:top w:val="none" w:sz="0" w:space="0" w:color="auto"/>
        <w:left w:val="none" w:sz="0" w:space="0" w:color="auto"/>
        <w:bottom w:val="none" w:sz="0" w:space="0" w:color="auto"/>
        <w:right w:val="none" w:sz="0" w:space="0" w:color="auto"/>
      </w:divBdr>
    </w:div>
    <w:div w:id="1966084875">
      <w:bodyDiv w:val="1"/>
      <w:marLeft w:val="0"/>
      <w:marRight w:val="0"/>
      <w:marTop w:val="0"/>
      <w:marBottom w:val="0"/>
      <w:divBdr>
        <w:top w:val="none" w:sz="0" w:space="0" w:color="auto"/>
        <w:left w:val="none" w:sz="0" w:space="0" w:color="auto"/>
        <w:bottom w:val="none" w:sz="0" w:space="0" w:color="auto"/>
        <w:right w:val="none" w:sz="0" w:space="0" w:color="auto"/>
      </w:divBdr>
    </w:div>
    <w:div w:id="1997759880">
      <w:bodyDiv w:val="1"/>
      <w:marLeft w:val="0"/>
      <w:marRight w:val="0"/>
      <w:marTop w:val="0"/>
      <w:marBottom w:val="0"/>
      <w:divBdr>
        <w:top w:val="none" w:sz="0" w:space="0" w:color="auto"/>
        <w:left w:val="none" w:sz="0" w:space="0" w:color="auto"/>
        <w:bottom w:val="none" w:sz="0" w:space="0" w:color="auto"/>
        <w:right w:val="none" w:sz="0" w:space="0" w:color="auto"/>
      </w:divBdr>
    </w:div>
    <w:div w:id="2038846175">
      <w:bodyDiv w:val="1"/>
      <w:marLeft w:val="0"/>
      <w:marRight w:val="0"/>
      <w:marTop w:val="0"/>
      <w:marBottom w:val="0"/>
      <w:divBdr>
        <w:top w:val="none" w:sz="0" w:space="0" w:color="auto"/>
        <w:left w:val="none" w:sz="0" w:space="0" w:color="auto"/>
        <w:bottom w:val="none" w:sz="0" w:space="0" w:color="auto"/>
        <w:right w:val="none" w:sz="0" w:space="0" w:color="auto"/>
      </w:divBdr>
    </w:div>
    <w:div w:id="2070615940">
      <w:bodyDiv w:val="1"/>
      <w:marLeft w:val="0"/>
      <w:marRight w:val="0"/>
      <w:marTop w:val="0"/>
      <w:marBottom w:val="0"/>
      <w:divBdr>
        <w:top w:val="none" w:sz="0" w:space="0" w:color="auto"/>
        <w:left w:val="none" w:sz="0" w:space="0" w:color="auto"/>
        <w:bottom w:val="none" w:sz="0" w:space="0" w:color="auto"/>
        <w:right w:val="none" w:sz="0" w:space="0" w:color="auto"/>
      </w:divBdr>
    </w:div>
    <w:div w:id="207901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Jonathan Vehlow</cp:lastModifiedBy>
  <cp:revision>1</cp:revision>
  <dcterms:created xsi:type="dcterms:W3CDTF">2019-06-25T18:04:00Z</dcterms:created>
  <dcterms:modified xsi:type="dcterms:W3CDTF">2019-06-25T18:08:00Z</dcterms:modified>
</cp:coreProperties>
</file>