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8AAEA" w14:textId="77777777" w:rsidR="0077172E" w:rsidRPr="0077172E" w:rsidRDefault="0077172E" w:rsidP="0077172E">
      <w:commentRangeStart w:id="0"/>
      <w:r w:rsidRPr="0077172E">
        <w:t xml:space="preserve">This is the Department of Labor’s webcast for Appendix VI of the recently released guidance, Training and Employment Guidance Letter, or TEGL, 14-18 Aligning Performance Accountability Reporting, Definitions, and Policies </w:t>
      </w:r>
      <w:proofErr w:type="gramStart"/>
      <w:r w:rsidRPr="0077172E">
        <w:t>Across</w:t>
      </w:r>
      <w:proofErr w:type="gramEnd"/>
      <w:r w:rsidRPr="0077172E">
        <w:t xml:space="preserve"> Workforce Employment and Training Programs Administered by the U.S. Department of Labor.</w:t>
      </w:r>
      <w:commentRangeEnd w:id="0"/>
      <w:r w:rsidR="00A030D2">
        <w:rPr>
          <w:rStyle w:val="CommentReference"/>
        </w:rPr>
        <w:commentReference w:id="0"/>
      </w:r>
    </w:p>
    <w:p w14:paraId="4081AE1F" w14:textId="77777777" w:rsidR="0077172E" w:rsidRPr="0077172E" w:rsidRDefault="0077172E" w:rsidP="0077172E">
      <w:commentRangeStart w:id="1"/>
      <w:r w:rsidRPr="0077172E">
        <w:t>Appendix VI applies to non-core programs and provides guidance on the use of supplemental wage information.</w:t>
      </w:r>
      <w:r w:rsidR="004A0050">
        <w:t xml:space="preserve"> </w:t>
      </w:r>
      <w:r w:rsidRPr="0077172E">
        <w:t xml:space="preserve"> It </w:t>
      </w:r>
      <w:r>
        <w:t xml:space="preserve">aligns </w:t>
      </w:r>
      <w:r w:rsidRPr="0077172E">
        <w:t xml:space="preserve">closely to TEGL 26-16, which is the supplemental wage information guidance for the WIOA core programs. </w:t>
      </w:r>
      <w:commentRangeEnd w:id="1"/>
      <w:r w:rsidR="00A030D2">
        <w:rPr>
          <w:rStyle w:val="CommentReference"/>
        </w:rPr>
        <w:commentReference w:id="1"/>
      </w:r>
    </w:p>
    <w:p w14:paraId="4A01B04E" w14:textId="77777777" w:rsidR="0077172E" w:rsidRPr="0077172E" w:rsidRDefault="0077172E" w:rsidP="0077172E">
      <w:commentRangeStart w:id="2"/>
      <w:r w:rsidRPr="0077172E">
        <w:t xml:space="preserve">This appendix begins by providing some background information on the need for and use of wage information for performance reporting. </w:t>
      </w:r>
      <w:r>
        <w:t xml:space="preserve"> </w:t>
      </w:r>
      <w:r w:rsidRPr="0077172E">
        <w:t xml:space="preserve">This guidance and TEGL 26-16 both note that the most efficient method for determining employment and earnings is through the use of direct wage record matching, but that in cases when wage records are not available, supplemental wage data can help to fill the gaps.  It should also be noted that 4 of the primary indicators of performance rely in some way on information on earnings and employment. </w:t>
      </w:r>
      <w:r>
        <w:t xml:space="preserve"> </w:t>
      </w:r>
      <w:r w:rsidRPr="0077172E">
        <w:t>The obvious ones are employment in the 2</w:t>
      </w:r>
      <w:r w:rsidRPr="0077172E">
        <w:rPr>
          <w:vertAlign w:val="superscript"/>
        </w:rPr>
        <w:t>nd</w:t>
      </w:r>
      <w:r w:rsidRPr="0077172E">
        <w:t xml:space="preserve"> quarter after exit, employment in the 4</w:t>
      </w:r>
      <w:r w:rsidRPr="0077172E">
        <w:rPr>
          <w:vertAlign w:val="superscript"/>
        </w:rPr>
        <w:t>th</w:t>
      </w:r>
      <w:r w:rsidRPr="0077172E">
        <w:t xml:space="preserve"> quarter after exit, and median earnings in the 2</w:t>
      </w:r>
      <w:r w:rsidRPr="0077172E">
        <w:rPr>
          <w:vertAlign w:val="superscript"/>
        </w:rPr>
        <w:t>nd</w:t>
      </w:r>
      <w:r w:rsidRPr="0077172E">
        <w:t xml:space="preserve"> quarter after exit. </w:t>
      </w:r>
      <w:r>
        <w:t xml:space="preserve"> </w:t>
      </w:r>
      <w:r w:rsidRPr="0077172E">
        <w:t xml:space="preserve">Less obvious is the credential attainment rate, </w:t>
      </w:r>
      <w:r>
        <w:t xml:space="preserve">for </w:t>
      </w:r>
      <w:r w:rsidRPr="0077172E">
        <w:t xml:space="preserve">which a secondary school diploma or equivalent can only count as a success if the participant </w:t>
      </w:r>
      <w:proofErr w:type="gramStart"/>
      <w:r w:rsidRPr="0077172E">
        <w:t>is employed</w:t>
      </w:r>
      <w:proofErr w:type="gramEnd"/>
      <w:r w:rsidRPr="0077172E">
        <w:t xml:space="preserve"> or in education within 1 year after exit.</w:t>
      </w:r>
      <w:commentRangeEnd w:id="2"/>
      <w:r w:rsidR="00A030D2">
        <w:rPr>
          <w:rStyle w:val="CommentReference"/>
        </w:rPr>
        <w:commentReference w:id="2"/>
      </w:r>
    </w:p>
    <w:p w14:paraId="3DD58065" w14:textId="77777777" w:rsidR="0077172E" w:rsidRPr="0077172E" w:rsidRDefault="0077172E" w:rsidP="0077172E">
      <w:commentRangeStart w:id="3"/>
      <w:r w:rsidRPr="0077172E">
        <w:t xml:space="preserve">Following up with every </w:t>
      </w:r>
      <w:proofErr w:type="spellStart"/>
      <w:r w:rsidRPr="0077172E">
        <w:t>exiter</w:t>
      </w:r>
      <w:proofErr w:type="spellEnd"/>
      <w:r w:rsidRPr="0077172E">
        <w:t xml:space="preserve"> to obtain supplemental wage information can be challenging, which is why it can be useful to focus on those circumstances when it is expected that wage record match information will not be available, even when an </w:t>
      </w:r>
      <w:proofErr w:type="spellStart"/>
      <w:r w:rsidRPr="0077172E">
        <w:t>exiter</w:t>
      </w:r>
      <w:proofErr w:type="spellEnd"/>
      <w:r w:rsidRPr="0077172E">
        <w:t xml:space="preserve"> is employed. </w:t>
      </w:r>
      <w:r>
        <w:t xml:space="preserve"> </w:t>
      </w:r>
      <w:r w:rsidRPr="0077172E">
        <w:t xml:space="preserve">This guidance describes these scenarios, which include federal employees, military employees, individuals who are self-employed, and individuals who do not provide a social security number. </w:t>
      </w:r>
      <w:commentRangeEnd w:id="3"/>
      <w:r w:rsidR="00A030D2">
        <w:rPr>
          <w:rStyle w:val="CommentReference"/>
        </w:rPr>
        <w:commentReference w:id="3"/>
      </w:r>
    </w:p>
    <w:p w14:paraId="42AB7749" w14:textId="77777777" w:rsidR="0077172E" w:rsidRPr="0077172E" w:rsidRDefault="0077172E" w:rsidP="0077172E">
      <w:commentRangeStart w:id="4"/>
      <w:r w:rsidRPr="0077172E">
        <w:t xml:space="preserve">Appendix VI also provides examples of different sources of supplemental wage information, which fall into three categories. First are employment records from federal and state sources, which include sources like the state new hires directory under the national directory of new hires, which is often referred to as NDNH.  A second type of source is tax documents, payroll records, and employer records, an example of which would be a copy of a quarter tax payment form to the IRS, such as form 941. </w:t>
      </w:r>
      <w:r w:rsidR="004A0050">
        <w:t xml:space="preserve"> </w:t>
      </w:r>
      <w:r w:rsidRPr="0077172E">
        <w:t>Finally, the appendix lists a variety of other supplemental wage record sources, which includes such thi</w:t>
      </w:r>
      <w:r w:rsidR="00ED7379">
        <w:t>ng</w:t>
      </w:r>
      <w:r w:rsidRPr="0077172E">
        <w:t>s as detailed case notes that are verified by the employer and signed by the counselor</w:t>
      </w:r>
      <w:proofErr w:type="gramStart"/>
      <w:r w:rsidRPr="0077172E">
        <w:t xml:space="preserve">. </w:t>
      </w:r>
      <w:commentRangeEnd w:id="4"/>
      <w:proofErr w:type="gramEnd"/>
      <w:r w:rsidR="00A030D2">
        <w:rPr>
          <w:rStyle w:val="CommentReference"/>
        </w:rPr>
        <w:commentReference w:id="4"/>
      </w:r>
    </w:p>
    <w:p w14:paraId="470C0821" w14:textId="77777777" w:rsidR="0077172E" w:rsidRPr="0077172E" w:rsidRDefault="0077172E" w:rsidP="0077172E">
      <w:commentRangeStart w:id="5"/>
      <w:r w:rsidRPr="0077172E">
        <w:t>This appendix also provides grantees with some guidance and recommendations with respect to the methods and procedures needed to collect supplemental wage information.</w:t>
      </w:r>
      <w:r w:rsidR="004A0050">
        <w:t xml:space="preserve"> </w:t>
      </w:r>
      <w:r w:rsidRPr="0077172E">
        <w:t xml:space="preserve"> These recommendations focus on three areas: the time period for collecting supplemental wage information, the methods for identifying participants needing follow up for wage information collection purposes, and staff training on supplemental wage information follow up methods. </w:t>
      </w:r>
      <w:commentRangeEnd w:id="5"/>
      <w:r w:rsidR="00A030D2">
        <w:rPr>
          <w:rStyle w:val="CommentReference"/>
        </w:rPr>
        <w:commentReference w:id="5"/>
      </w:r>
    </w:p>
    <w:p w14:paraId="33A0C74F" w14:textId="77777777" w:rsidR="0077172E" w:rsidRPr="0077172E" w:rsidRDefault="0077172E" w:rsidP="0077172E">
      <w:commentRangeStart w:id="6"/>
      <w:r w:rsidRPr="0077172E">
        <w:t xml:space="preserve">If an individual is not expected to be in employment that would show up in a UI wage match, ETA recommends that grantees </w:t>
      </w:r>
      <w:r>
        <w:t>NOT</w:t>
      </w:r>
      <w:r w:rsidRPr="0077172E">
        <w:t xml:space="preserve"> wa</w:t>
      </w:r>
      <w:r>
        <w:t>it</w:t>
      </w:r>
      <w:r w:rsidRPr="0077172E">
        <w:t xml:space="preserve"> to find out if that expectation was correct.</w:t>
      </w:r>
      <w:r w:rsidR="004A0050">
        <w:t xml:space="preserve"> </w:t>
      </w:r>
      <w:r w:rsidRPr="0077172E">
        <w:t xml:space="preserve"> Rather, ETA recommends collecting data as soon as possible. </w:t>
      </w:r>
      <w:r>
        <w:t xml:space="preserve"> </w:t>
      </w:r>
      <w:r w:rsidRPr="0077172E">
        <w:t>While UI wage match data is lagged 2 quarters behind the quarter being measured, supplemental wage information can be collected immediately following the conclusion of the quarter.  The table on this slide demonstrates the appropriate timeframe for each measure.  Collecting supplemental data sooner is recommended because such collection efforts are more successful the closer they are to a participants</w:t>
      </w:r>
      <w:r w:rsidR="00ED7379">
        <w:t>’</w:t>
      </w:r>
      <w:r w:rsidRPr="0077172E">
        <w:t xml:space="preserve"> date of exit. </w:t>
      </w:r>
      <w:commentRangeEnd w:id="6"/>
      <w:r w:rsidR="00A030D2">
        <w:rPr>
          <w:rStyle w:val="CommentReference"/>
        </w:rPr>
        <w:commentReference w:id="6"/>
      </w:r>
    </w:p>
    <w:p w14:paraId="3A0AFC10" w14:textId="7C9137D1" w:rsidR="0077172E" w:rsidRPr="0077172E" w:rsidRDefault="0077172E" w:rsidP="0077172E">
      <w:commentRangeStart w:id="7"/>
      <w:r>
        <w:lastRenderedPageBreak/>
        <w:t>ETA also</w:t>
      </w:r>
      <w:r w:rsidRPr="0077172E">
        <w:t xml:space="preserve"> recommends developing a method for identifying participants </w:t>
      </w:r>
      <w:r w:rsidR="00ED7379">
        <w:t>who</w:t>
      </w:r>
      <w:r w:rsidRPr="0077172E">
        <w:t xml:space="preserve"> need follow up in order to collect wage information from them</w:t>
      </w:r>
      <w:r>
        <w:t>, rather than following up with each and every participant</w:t>
      </w:r>
      <w:r w:rsidRPr="0077172E">
        <w:t xml:space="preserve">. </w:t>
      </w:r>
      <w:r w:rsidR="004A0050">
        <w:t xml:space="preserve"> </w:t>
      </w:r>
      <w:r w:rsidRPr="0077172E">
        <w:t xml:space="preserve">This includes identifying those </w:t>
      </w:r>
      <w:r w:rsidR="00ED7379">
        <w:t>who</w:t>
      </w:r>
      <w:r w:rsidRPr="0077172E">
        <w:t xml:space="preserve"> are unlikely to show up in a wage match such as those </w:t>
      </w:r>
      <w:r>
        <w:t>categories mentioned previously</w:t>
      </w:r>
      <w:r w:rsidRPr="0077172E">
        <w:t xml:space="preserve">. </w:t>
      </w:r>
      <w:r w:rsidR="004A0050">
        <w:t xml:space="preserve"> </w:t>
      </w:r>
      <w:r w:rsidRPr="0077172E">
        <w:t xml:space="preserve">These identifications can be facilitated by using case management systems </w:t>
      </w:r>
      <w:r>
        <w:t>that identify such individuals.</w:t>
      </w:r>
      <w:r w:rsidRPr="0077172E">
        <w:t xml:space="preserve"> </w:t>
      </w:r>
      <w:r w:rsidR="004A0050">
        <w:t xml:space="preserve"> </w:t>
      </w:r>
      <w:r>
        <w:t>It also helps to</w:t>
      </w:r>
      <w:r w:rsidRPr="0077172E">
        <w:t xml:space="preserve"> emphasiz</w:t>
      </w:r>
      <w:r>
        <w:t>e</w:t>
      </w:r>
      <w:r w:rsidRPr="0077172E">
        <w:t xml:space="preserve"> the collection of the information needed to follow up or report, such as social security numbers, contact information, and </w:t>
      </w:r>
      <w:r>
        <w:t>the</w:t>
      </w:r>
      <w:r w:rsidRPr="0077172E">
        <w:t xml:space="preserve"> elements needed for the performance indicators.  As a reminder, within a given quarter the same type of data source must be used for both employment and earnings, so it is important to get earnings information when collecting employment outcomes using supplemental methods. </w:t>
      </w:r>
      <w:commentRangeEnd w:id="7"/>
      <w:r w:rsidR="00A030D2">
        <w:rPr>
          <w:rStyle w:val="CommentReference"/>
        </w:rPr>
        <w:commentReference w:id="7"/>
      </w:r>
    </w:p>
    <w:p w14:paraId="5274CDE6" w14:textId="77777777" w:rsidR="0077172E" w:rsidRPr="0077172E" w:rsidRDefault="0077172E" w:rsidP="0077172E">
      <w:commentRangeStart w:id="8"/>
      <w:r w:rsidRPr="0077172E">
        <w:t xml:space="preserve">When establishing these methods for collection of data, ETA recommends ensuring that staff receive regular training on these follow-up methods. </w:t>
      </w:r>
      <w:r>
        <w:t xml:space="preserve"> </w:t>
      </w:r>
      <w:r w:rsidRPr="0077172E">
        <w:t xml:space="preserve">By training staff to use a uniform set of written policies and procedures, grantees can better ensure that data is collected and documented in a valid and reliable manner. </w:t>
      </w:r>
      <w:r>
        <w:t>ETA recommends</w:t>
      </w:r>
      <w:r w:rsidRPr="0077172E">
        <w:t xml:space="preserve"> staff be trained in implementation of the procedures, includ</w:t>
      </w:r>
      <w:r>
        <w:t>ing</w:t>
      </w:r>
      <w:r w:rsidRPr="0077172E">
        <w:t>:  what to say to encourage cooperation, as well as voluntary and truthful disclosure; how to document the information received; and how to respond to questions about the process.</w:t>
      </w:r>
      <w:r w:rsidR="004A0050">
        <w:t xml:space="preserve"> </w:t>
      </w:r>
      <w:r w:rsidRPr="0077172E">
        <w:t xml:space="preserve"> ETA also recommends training staff to ensure that participants are informed at program entry that they </w:t>
      </w:r>
      <w:proofErr w:type="gramStart"/>
      <w:r w:rsidRPr="0077172E">
        <w:t>may be contacted</w:t>
      </w:r>
      <w:proofErr w:type="gramEnd"/>
      <w:r w:rsidRPr="0077172E">
        <w:t xml:space="preserve"> after exit for this purpose.</w:t>
      </w:r>
      <w:commentRangeEnd w:id="8"/>
      <w:r w:rsidR="00A030D2">
        <w:rPr>
          <w:rStyle w:val="CommentReference"/>
        </w:rPr>
        <w:commentReference w:id="8"/>
      </w:r>
    </w:p>
    <w:p w14:paraId="660BD375" w14:textId="4DB65313" w:rsidR="0077172E" w:rsidRPr="0077172E" w:rsidRDefault="0077172E" w:rsidP="0077172E">
      <w:commentRangeStart w:id="9"/>
      <w:r w:rsidRPr="0077172E">
        <w:t xml:space="preserve">For additional resources on Supplemental Wage Information, see the additional links below the link to this video.  We encourage you to read through the guidance package and your specific program attachments for </w:t>
      </w:r>
      <w:r w:rsidR="00ED7379">
        <w:t>more</w:t>
      </w:r>
      <w:r w:rsidR="00ED7379" w:rsidRPr="0077172E">
        <w:t xml:space="preserve"> </w:t>
      </w:r>
      <w:r w:rsidR="006A0B43">
        <w:t xml:space="preserve">targeted </w:t>
      </w:r>
      <w:r w:rsidRPr="0077172E">
        <w:t>guidance on supplemental wage information.  Visit these resources, and other web casts in this series for more information.</w:t>
      </w:r>
      <w:commentRangeEnd w:id="9"/>
      <w:r w:rsidR="00A030D2">
        <w:rPr>
          <w:rStyle w:val="CommentReference"/>
        </w:rPr>
        <w:commentReference w:id="9"/>
      </w:r>
    </w:p>
    <w:p w14:paraId="6EBC26B6" w14:textId="77777777" w:rsidR="00023067" w:rsidRDefault="00A030D2">
      <w:bookmarkStart w:id="10" w:name="_GoBack"/>
      <w:bookmarkEnd w:id="10"/>
    </w:p>
    <w:sectPr w:rsidR="0002306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ode, Kellen M - ETA" w:date="2019-08-02T11:03:00Z" w:initials="KG">
    <w:p w14:paraId="45627215" w14:textId="6E560B84" w:rsidR="00A030D2" w:rsidRDefault="00A030D2">
      <w:pPr>
        <w:pStyle w:val="CommentText"/>
      </w:pPr>
      <w:r>
        <w:rPr>
          <w:rStyle w:val="CommentReference"/>
        </w:rPr>
        <w:annotationRef/>
      </w:r>
      <w:r>
        <w:t>Slide 1</w:t>
      </w:r>
    </w:p>
  </w:comment>
  <w:comment w:id="1" w:author="Grode, Kellen M - ETA" w:date="2019-08-02T11:04:00Z" w:initials="KG">
    <w:p w14:paraId="7604CA39" w14:textId="4D605C33" w:rsidR="00A030D2" w:rsidRDefault="00A030D2">
      <w:pPr>
        <w:pStyle w:val="CommentText"/>
      </w:pPr>
      <w:r>
        <w:rPr>
          <w:rStyle w:val="CommentReference"/>
        </w:rPr>
        <w:annotationRef/>
      </w:r>
      <w:r>
        <w:t>Slide 2</w:t>
      </w:r>
    </w:p>
  </w:comment>
  <w:comment w:id="2" w:author="Grode, Kellen M - ETA" w:date="2019-08-02T11:04:00Z" w:initials="KG">
    <w:p w14:paraId="04BDE6C6" w14:textId="786A9E08" w:rsidR="00A030D2" w:rsidRDefault="00A030D2">
      <w:pPr>
        <w:pStyle w:val="CommentText"/>
      </w:pPr>
      <w:r>
        <w:rPr>
          <w:rStyle w:val="CommentReference"/>
        </w:rPr>
        <w:annotationRef/>
      </w:r>
      <w:r>
        <w:t>Slide 3</w:t>
      </w:r>
    </w:p>
  </w:comment>
  <w:comment w:id="3" w:author="Grode, Kellen M - ETA" w:date="2019-08-02T11:04:00Z" w:initials="KG">
    <w:p w14:paraId="2D3DA074" w14:textId="75608A65" w:rsidR="00A030D2" w:rsidRDefault="00A030D2">
      <w:pPr>
        <w:pStyle w:val="CommentText"/>
      </w:pPr>
      <w:r>
        <w:rPr>
          <w:rStyle w:val="CommentReference"/>
        </w:rPr>
        <w:annotationRef/>
      </w:r>
      <w:r>
        <w:t>Slide 4</w:t>
      </w:r>
    </w:p>
  </w:comment>
  <w:comment w:id="4" w:author="Grode, Kellen M - ETA" w:date="2019-08-02T11:04:00Z" w:initials="KG">
    <w:p w14:paraId="05C5DB15" w14:textId="06A0A64E" w:rsidR="00A030D2" w:rsidRDefault="00A030D2">
      <w:pPr>
        <w:pStyle w:val="CommentText"/>
      </w:pPr>
      <w:r>
        <w:rPr>
          <w:rStyle w:val="CommentReference"/>
        </w:rPr>
        <w:annotationRef/>
      </w:r>
      <w:r>
        <w:t>Slide 5</w:t>
      </w:r>
    </w:p>
  </w:comment>
  <w:comment w:id="5" w:author="Grode, Kellen M - ETA" w:date="2019-08-02T11:04:00Z" w:initials="KG">
    <w:p w14:paraId="5C18BCAD" w14:textId="11BAB386" w:rsidR="00A030D2" w:rsidRDefault="00A030D2">
      <w:pPr>
        <w:pStyle w:val="CommentText"/>
      </w:pPr>
      <w:r>
        <w:rPr>
          <w:rStyle w:val="CommentReference"/>
        </w:rPr>
        <w:annotationRef/>
      </w:r>
      <w:r>
        <w:t>Slide 6</w:t>
      </w:r>
    </w:p>
  </w:comment>
  <w:comment w:id="6" w:author="Grode, Kellen M - ETA" w:date="2019-08-02T11:05:00Z" w:initials="KG">
    <w:p w14:paraId="4285D407" w14:textId="6659469D" w:rsidR="00A030D2" w:rsidRDefault="00A030D2">
      <w:pPr>
        <w:pStyle w:val="CommentText"/>
      </w:pPr>
      <w:r>
        <w:rPr>
          <w:rStyle w:val="CommentReference"/>
        </w:rPr>
        <w:annotationRef/>
      </w:r>
      <w:r>
        <w:t>Slide 7</w:t>
      </w:r>
    </w:p>
  </w:comment>
  <w:comment w:id="7" w:author="Grode, Kellen M - ETA" w:date="2019-08-02T11:05:00Z" w:initials="KG">
    <w:p w14:paraId="09F6EECC" w14:textId="463BB51C" w:rsidR="00A030D2" w:rsidRDefault="00A030D2">
      <w:pPr>
        <w:pStyle w:val="CommentText"/>
      </w:pPr>
      <w:r>
        <w:rPr>
          <w:rStyle w:val="CommentReference"/>
        </w:rPr>
        <w:annotationRef/>
      </w:r>
      <w:r>
        <w:t>Slide 8</w:t>
      </w:r>
    </w:p>
  </w:comment>
  <w:comment w:id="8" w:author="Grode, Kellen M - ETA" w:date="2019-08-02T11:06:00Z" w:initials="KG">
    <w:p w14:paraId="6A173FDD" w14:textId="14CFEFA5" w:rsidR="00A030D2" w:rsidRDefault="00A030D2">
      <w:pPr>
        <w:pStyle w:val="CommentText"/>
      </w:pPr>
      <w:r>
        <w:rPr>
          <w:rStyle w:val="CommentReference"/>
        </w:rPr>
        <w:annotationRef/>
      </w:r>
      <w:r>
        <w:t>Slide 9</w:t>
      </w:r>
    </w:p>
  </w:comment>
  <w:comment w:id="9" w:author="Grode, Kellen M - ETA" w:date="2019-08-02T11:06:00Z" w:initials="KG">
    <w:p w14:paraId="669DDE9C" w14:textId="29D91FE4" w:rsidR="00A030D2" w:rsidRDefault="00A030D2">
      <w:pPr>
        <w:pStyle w:val="CommentText"/>
      </w:pPr>
      <w:r>
        <w:rPr>
          <w:rStyle w:val="CommentReference"/>
        </w:rPr>
        <w:annotationRef/>
      </w:r>
      <w:r>
        <w:t xml:space="preserve">Slide 10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5627215" w15:done="0"/>
  <w15:commentEx w15:paraId="7604CA39" w15:done="0"/>
  <w15:commentEx w15:paraId="04BDE6C6" w15:done="0"/>
  <w15:commentEx w15:paraId="2D3DA074" w15:done="0"/>
  <w15:commentEx w15:paraId="05C5DB15" w15:done="0"/>
  <w15:commentEx w15:paraId="5C18BCAD" w15:done="0"/>
  <w15:commentEx w15:paraId="4285D407" w15:done="0"/>
  <w15:commentEx w15:paraId="09F6EECC" w15:done="0"/>
  <w15:commentEx w15:paraId="6A173FDD" w15:done="0"/>
  <w15:commentEx w15:paraId="669DDE9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rode, Kellen M - ETA">
    <w15:presenceInfo w15:providerId="None" w15:userId="Grode, Kellen M - E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72E"/>
    <w:rsid w:val="002B664A"/>
    <w:rsid w:val="004A0050"/>
    <w:rsid w:val="006A0B43"/>
    <w:rsid w:val="0077172E"/>
    <w:rsid w:val="00945FC9"/>
    <w:rsid w:val="00A030D2"/>
    <w:rsid w:val="00ED7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C694B"/>
  <w15:chartTrackingRefBased/>
  <w15:docId w15:val="{19166C56-358E-458E-BDCB-C514B9C1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D7379"/>
    <w:rPr>
      <w:sz w:val="16"/>
      <w:szCs w:val="16"/>
    </w:rPr>
  </w:style>
  <w:style w:type="paragraph" w:styleId="CommentText">
    <w:name w:val="annotation text"/>
    <w:basedOn w:val="Normal"/>
    <w:link w:val="CommentTextChar"/>
    <w:uiPriority w:val="99"/>
    <w:semiHidden/>
    <w:unhideWhenUsed/>
    <w:rsid w:val="00ED7379"/>
    <w:pPr>
      <w:spacing w:line="240" w:lineRule="auto"/>
    </w:pPr>
    <w:rPr>
      <w:sz w:val="20"/>
      <w:szCs w:val="20"/>
    </w:rPr>
  </w:style>
  <w:style w:type="character" w:customStyle="1" w:styleId="CommentTextChar">
    <w:name w:val="Comment Text Char"/>
    <w:basedOn w:val="DefaultParagraphFont"/>
    <w:link w:val="CommentText"/>
    <w:uiPriority w:val="99"/>
    <w:semiHidden/>
    <w:rsid w:val="00ED7379"/>
    <w:rPr>
      <w:sz w:val="20"/>
      <w:szCs w:val="20"/>
    </w:rPr>
  </w:style>
  <w:style w:type="paragraph" w:styleId="CommentSubject">
    <w:name w:val="annotation subject"/>
    <w:basedOn w:val="CommentText"/>
    <w:next w:val="CommentText"/>
    <w:link w:val="CommentSubjectChar"/>
    <w:uiPriority w:val="99"/>
    <w:semiHidden/>
    <w:unhideWhenUsed/>
    <w:rsid w:val="00ED7379"/>
    <w:rPr>
      <w:b/>
      <w:bCs/>
    </w:rPr>
  </w:style>
  <w:style w:type="character" w:customStyle="1" w:styleId="CommentSubjectChar">
    <w:name w:val="Comment Subject Char"/>
    <w:basedOn w:val="CommentTextChar"/>
    <w:link w:val="CommentSubject"/>
    <w:uiPriority w:val="99"/>
    <w:semiHidden/>
    <w:rsid w:val="00ED7379"/>
    <w:rPr>
      <w:b/>
      <w:bCs/>
      <w:sz w:val="20"/>
      <w:szCs w:val="20"/>
    </w:rPr>
  </w:style>
  <w:style w:type="paragraph" w:styleId="BalloonText">
    <w:name w:val="Balloon Text"/>
    <w:basedOn w:val="Normal"/>
    <w:link w:val="BalloonTextChar"/>
    <w:uiPriority w:val="99"/>
    <w:semiHidden/>
    <w:unhideWhenUsed/>
    <w:rsid w:val="00ED73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3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921673">
      <w:bodyDiv w:val="1"/>
      <w:marLeft w:val="0"/>
      <w:marRight w:val="0"/>
      <w:marTop w:val="0"/>
      <w:marBottom w:val="0"/>
      <w:divBdr>
        <w:top w:val="none" w:sz="0" w:space="0" w:color="auto"/>
        <w:left w:val="none" w:sz="0" w:space="0" w:color="auto"/>
        <w:bottom w:val="none" w:sz="0" w:space="0" w:color="auto"/>
        <w:right w:val="none" w:sz="0" w:space="0" w:color="auto"/>
      </w:divBdr>
    </w:div>
    <w:div w:id="368648448">
      <w:bodyDiv w:val="1"/>
      <w:marLeft w:val="0"/>
      <w:marRight w:val="0"/>
      <w:marTop w:val="0"/>
      <w:marBottom w:val="0"/>
      <w:divBdr>
        <w:top w:val="none" w:sz="0" w:space="0" w:color="auto"/>
        <w:left w:val="none" w:sz="0" w:space="0" w:color="auto"/>
        <w:bottom w:val="none" w:sz="0" w:space="0" w:color="auto"/>
        <w:right w:val="none" w:sz="0" w:space="0" w:color="auto"/>
      </w:divBdr>
    </w:div>
    <w:div w:id="389116974">
      <w:bodyDiv w:val="1"/>
      <w:marLeft w:val="0"/>
      <w:marRight w:val="0"/>
      <w:marTop w:val="0"/>
      <w:marBottom w:val="0"/>
      <w:divBdr>
        <w:top w:val="none" w:sz="0" w:space="0" w:color="auto"/>
        <w:left w:val="none" w:sz="0" w:space="0" w:color="auto"/>
        <w:bottom w:val="none" w:sz="0" w:space="0" w:color="auto"/>
        <w:right w:val="none" w:sz="0" w:space="0" w:color="auto"/>
      </w:divBdr>
    </w:div>
    <w:div w:id="478501841">
      <w:bodyDiv w:val="1"/>
      <w:marLeft w:val="0"/>
      <w:marRight w:val="0"/>
      <w:marTop w:val="0"/>
      <w:marBottom w:val="0"/>
      <w:divBdr>
        <w:top w:val="none" w:sz="0" w:space="0" w:color="auto"/>
        <w:left w:val="none" w:sz="0" w:space="0" w:color="auto"/>
        <w:bottom w:val="none" w:sz="0" w:space="0" w:color="auto"/>
        <w:right w:val="none" w:sz="0" w:space="0" w:color="auto"/>
      </w:divBdr>
    </w:div>
    <w:div w:id="489947610">
      <w:bodyDiv w:val="1"/>
      <w:marLeft w:val="0"/>
      <w:marRight w:val="0"/>
      <w:marTop w:val="0"/>
      <w:marBottom w:val="0"/>
      <w:divBdr>
        <w:top w:val="none" w:sz="0" w:space="0" w:color="auto"/>
        <w:left w:val="none" w:sz="0" w:space="0" w:color="auto"/>
        <w:bottom w:val="none" w:sz="0" w:space="0" w:color="auto"/>
        <w:right w:val="none" w:sz="0" w:space="0" w:color="auto"/>
      </w:divBdr>
    </w:div>
    <w:div w:id="532113390">
      <w:bodyDiv w:val="1"/>
      <w:marLeft w:val="0"/>
      <w:marRight w:val="0"/>
      <w:marTop w:val="0"/>
      <w:marBottom w:val="0"/>
      <w:divBdr>
        <w:top w:val="none" w:sz="0" w:space="0" w:color="auto"/>
        <w:left w:val="none" w:sz="0" w:space="0" w:color="auto"/>
        <w:bottom w:val="none" w:sz="0" w:space="0" w:color="auto"/>
        <w:right w:val="none" w:sz="0" w:space="0" w:color="auto"/>
      </w:divBdr>
    </w:div>
    <w:div w:id="1135567118">
      <w:bodyDiv w:val="1"/>
      <w:marLeft w:val="0"/>
      <w:marRight w:val="0"/>
      <w:marTop w:val="0"/>
      <w:marBottom w:val="0"/>
      <w:divBdr>
        <w:top w:val="none" w:sz="0" w:space="0" w:color="auto"/>
        <w:left w:val="none" w:sz="0" w:space="0" w:color="auto"/>
        <w:bottom w:val="none" w:sz="0" w:space="0" w:color="auto"/>
        <w:right w:val="none" w:sz="0" w:space="0" w:color="auto"/>
      </w:divBdr>
    </w:div>
    <w:div w:id="1149248727">
      <w:bodyDiv w:val="1"/>
      <w:marLeft w:val="0"/>
      <w:marRight w:val="0"/>
      <w:marTop w:val="0"/>
      <w:marBottom w:val="0"/>
      <w:divBdr>
        <w:top w:val="none" w:sz="0" w:space="0" w:color="auto"/>
        <w:left w:val="none" w:sz="0" w:space="0" w:color="auto"/>
        <w:bottom w:val="none" w:sz="0" w:space="0" w:color="auto"/>
        <w:right w:val="none" w:sz="0" w:space="0" w:color="auto"/>
      </w:divBdr>
    </w:div>
    <w:div w:id="1546091779">
      <w:bodyDiv w:val="1"/>
      <w:marLeft w:val="0"/>
      <w:marRight w:val="0"/>
      <w:marTop w:val="0"/>
      <w:marBottom w:val="0"/>
      <w:divBdr>
        <w:top w:val="none" w:sz="0" w:space="0" w:color="auto"/>
        <w:left w:val="none" w:sz="0" w:space="0" w:color="auto"/>
        <w:bottom w:val="none" w:sz="0" w:space="0" w:color="auto"/>
        <w:right w:val="none" w:sz="0" w:space="0" w:color="auto"/>
      </w:divBdr>
    </w:div>
    <w:div w:id="197794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3DABC-E5ED-41E3-80F7-42F5594D9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840</Words>
  <Characters>4789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Grode, Kellen M - ETA</dc:creator>
  <cp:keywords/>
  <dc:description/>
  <cp:lastModifiedBy>Grode, Kellen M - ETA</cp:lastModifiedBy>
  <cp:revision>2</cp:revision>
  <dcterms:created xsi:type="dcterms:W3CDTF">2019-08-02T15:07:00Z</dcterms:created>
  <dcterms:modified xsi:type="dcterms:W3CDTF">2019-08-02T15:07:00Z</dcterms:modified>
</cp:coreProperties>
</file>