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B3C0C" w:rsidRPr="000B3C0C" w:rsidRDefault="000B3C0C" w:rsidP="000B3C0C">
      <w:pPr>
        <w:pStyle w:val="Title"/>
        <w:spacing w:after="100" w:afterAutospacing="1"/>
        <w:jc w:val="center"/>
        <w:rPr>
          <w:sz w:val="36"/>
        </w:rPr>
      </w:pPr>
      <w:r w:rsidRPr="000B3C0C">
        <w:rPr>
          <w:sz w:val="36"/>
        </w:rPr>
        <w:t>TEGL 14-18 Webcast - H-1B Grants Attachment</w:t>
      </w:r>
      <w:r>
        <w:rPr>
          <w:sz w:val="36"/>
        </w:rPr>
        <w:t xml:space="preserve"> Webcast Transcript</w:t>
      </w:r>
      <w:bookmarkStart w:id="0" w:name="_GoBack"/>
      <w:bookmarkEnd w:id="0"/>
    </w:p>
    <w:p w:rsidR="00692024" w:rsidRPr="00692024" w:rsidRDefault="00692024" w:rsidP="00692024">
      <w:r>
        <w:rPr>
          <w:b/>
          <w:bCs/>
        </w:rPr>
        <w:t>Slide 1: Title</w:t>
      </w:r>
    </w:p>
    <w:p w:rsidR="00692024" w:rsidRDefault="00692024" w:rsidP="00692024">
      <w:r w:rsidRPr="00692024">
        <w:t>Welcome to this prerecorded webinar on TEGL 14-18, Attachment 1 for H-1B Grants</w:t>
      </w:r>
    </w:p>
    <w:p w:rsidR="00692024" w:rsidRPr="00692024" w:rsidRDefault="00692024" w:rsidP="00692024">
      <w:r w:rsidRPr="00692024">
        <w:rPr>
          <w:b/>
        </w:rPr>
        <w:t>Slide 2:</w:t>
      </w:r>
      <w:r>
        <w:rPr>
          <w:b/>
          <w:bCs/>
        </w:rPr>
        <w:t xml:space="preserve"> Presenters</w:t>
      </w:r>
    </w:p>
    <w:p w:rsidR="00692024" w:rsidRPr="00692024" w:rsidRDefault="00692024" w:rsidP="00692024">
      <w:r w:rsidRPr="00692024">
        <w:t>Your presenters today are Gregory Scheib, a Workforce Analyst with the U.S. Department of Labor, Employment and Training Administration, and Timmy Dudley, a Senior Technical Project Management Analyst with ICF. Now I’ll pass it to Greg to get things started.</w:t>
      </w:r>
    </w:p>
    <w:p w:rsidR="00914D23" w:rsidRPr="00692024" w:rsidRDefault="00692024">
      <w:pPr>
        <w:rPr>
          <w:b/>
        </w:rPr>
      </w:pPr>
      <w:r w:rsidRPr="00692024">
        <w:rPr>
          <w:b/>
        </w:rPr>
        <w:t>Slide 3: Summary</w:t>
      </w:r>
    </w:p>
    <w:p w:rsidR="00692024" w:rsidRDefault="00692024" w:rsidP="00692024">
      <w:r>
        <w:t>Thank you, Laura.</w:t>
      </w:r>
    </w:p>
    <w:p w:rsidR="00692024" w:rsidRPr="00692024" w:rsidRDefault="00692024" w:rsidP="00692024">
      <w:r w:rsidRPr="00692024">
        <w:t>Thank you for joining us!</w:t>
      </w:r>
    </w:p>
    <w:p w:rsidR="00692024" w:rsidRPr="00692024" w:rsidRDefault="00692024" w:rsidP="00692024">
      <w:r w:rsidRPr="00692024">
        <w:t xml:space="preserve">In this webinar we will review the key information on the H-1B Attachment 1 to TEGL 14-18, including: </w:t>
      </w:r>
    </w:p>
    <w:p w:rsidR="00000000" w:rsidRPr="00692024" w:rsidRDefault="000B3C0C" w:rsidP="00692024">
      <w:pPr>
        <w:pStyle w:val="ListParagraph"/>
        <w:numPr>
          <w:ilvl w:val="0"/>
          <w:numId w:val="1"/>
        </w:numPr>
      </w:pPr>
      <w:r w:rsidRPr="00692024">
        <w:t>H-1B Grant Performance Outcome Measures</w:t>
      </w:r>
    </w:p>
    <w:p w:rsidR="00000000" w:rsidRPr="00692024" w:rsidRDefault="000B3C0C" w:rsidP="00692024">
      <w:pPr>
        <w:numPr>
          <w:ilvl w:val="0"/>
          <w:numId w:val="1"/>
        </w:numPr>
      </w:pPr>
      <w:r w:rsidRPr="00692024">
        <w:t>H-1B Performance Policy</w:t>
      </w:r>
    </w:p>
    <w:p w:rsidR="00000000" w:rsidRPr="00692024" w:rsidRDefault="000B3C0C" w:rsidP="00692024">
      <w:pPr>
        <w:numPr>
          <w:ilvl w:val="0"/>
          <w:numId w:val="1"/>
        </w:numPr>
      </w:pPr>
      <w:r w:rsidRPr="00692024">
        <w:t xml:space="preserve">Unique Reporting Features of H-1B </w:t>
      </w:r>
      <w:r w:rsidRPr="00692024">
        <w:t>Grants</w:t>
      </w:r>
    </w:p>
    <w:p w:rsidR="00692024" w:rsidRDefault="000B3C0C" w:rsidP="00692024">
      <w:pPr>
        <w:numPr>
          <w:ilvl w:val="0"/>
          <w:numId w:val="1"/>
        </w:numPr>
      </w:pPr>
      <w:r w:rsidRPr="00692024">
        <w:t>and additional resources available to H-1B grantees.</w:t>
      </w:r>
    </w:p>
    <w:p w:rsidR="00692024" w:rsidRPr="000B3C0C" w:rsidRDefault="00692024" w:rsidP="00692024">
      <w:pPr>
        <w:rPr>
          <w:b/>
        </w:rPr>
      </w:pPr>
      <w:r w:rsidRPr="000B3C0C">
        <w:rPr>
          <w:b/>
        </w:rPr>
        <w:t>Slide 4: Overview</w:t>
      </w:r>
    </w:p>
    <w:p w:rsidR="00692024" w:rsidRPr="00692024" w:rsidRDefault="00692024" w:rsidP="00692024">
      <w:r w:rsidRPr="00692024">
        <w:t>We will begin with an overview of H-1B Grants Performance</w:t>
      </w:r>
    </w:p>
    <w:p w:rsidR="00692024" w:rsidRPr="000B3C0C" w:rsidRDefault="00692024" w:rsidP="00692024">
      <w:pPr>
        <w:rPr>
          <w:b/>
        </w:rPr>
      </w:pPr>
      <w:r w:rsidRPr="000B3C0C">
        <w:rPr>
          <w:b/>
        </w:rPr>
        <w:t>Slide 5: Overview</w:t>
      </w:r>
    </w:p>
    <w:p w:rsidR="00692024" w:rsidRPr="00692024" w:rsidRDefault="00692024" w:rsidP="00692024">
      <w:r w:rsidRPr="00692024">
        <w:t>H-1B grant-funded programs are statutorily required to report on the employment outcomes attained by workers using indicators of performance that are consistent with indicators used for other employment and training programs, though H-1B grants are authorized under the American Competitiveness and Workforce Improvement Act (ACWIA) and not WIOA.</w:t>
      </w:r>
    </w:p>
    <w:p w:rsidR="00692024" w:rsidRPr="000B3C0C" w:rsidRDefault="00692024" w:rsidP="00692024">
      <w:pPr>
        <w:rPr>
          <w:b/>
        </w:rPr>
      </w:pPr>
      <w:r w:rsidRPr="000B3C0C">
        <w:rPr>
          <w:b/>
        </w:rPr>
        <w:t>Slide 6: H-1B Programs Overview</w:t>
      </w:r>
    </w:p>
    <w:p w:rsidR="00692024" w:rsidRPr="00692024" w:rsidRDefault="00692024" w:rsidP="00692024">
      <w:r w:rsidRPr="00692024">
        <w:t>TEGL 14-18 is applicable to the following H-1B grant programs: America’s Promise, TechHire Partnership Grants, and the Strengthening Working Families Initiative grant.</w:t>
      </w:r>
    </w:p>
    <w:p w:rsidR="00692024" w:rsidRPr="00692024" w:rsidRDefault="00692024" w:rsidP="00692024">
      <w:r w:rsidRPr="00692024">
        <w:t xml:space="preserve">Additional H-1B grant specific technical assistance can also be found on </w:t>
      </w:r>
      <w:proofErr w:type="spellStart"/>
      <w:r w:rsidRPr="00692024">
        <w:t>WorkforceGPS</w:t>
      </w:r>
      <w:proofErr w:type="spellEnd"/>
      <w:r w:rsidRPr="00692024">
        <w:t xml:space="preserve"> at the links provided here.</w:t>
      </w:r>
    </w:p>
    <w:p w:rsidR="00692024" w:rsidRPr="00692024" w:rsidRDefault="00692024" w:rsidP="00692024">
      <w:r w:rsidRPr="00692024">
        <w:t xml:space="preserve">Future H-1B grants will each have their own </w:t>
      </w:r>
      <w:proofErr w:type="spellStart"/>
      <w:r w:rsidRPr="00692024">
        <w:t>WorkforceGPS</w:t>
      </w:r>
      <w:proofErr w:type="spellEnd"/>
      <w:r w:rsidRPr="00692024">
        <w:t xml:space="preserve"> Community of Practice pages.   </w:t>
      </w:r>
    </w:p>
    <w:p w:rsidR="00692024" w:rsidRDefault="00692024" w:rsidP="00692024">
      <w:pPr>
        <w:rPr>
          <w:b/>
          <w:bCs/>
        </w:rPr>
      </w:pPr>
      <w:r w:rsidRPr="000B3C0C">
        <w:rPr>
          <w:b/>
        </w:rPr>
        <w:t>Slide 7:</w:t>
      </w:r>
      <w:r>
        <w:t xml:space="preserve"> </w:t>
      </w:r>
      <w:r w:rsidRPr="00692024">
        <w:rPr>
          <w:b/>
          <w:bCs/>
        </w:rPr>
        <w:t>H-1B Grant Performance Outcome Measures</w:t>
      </w:r>
    </w:p>
    <w:p w:rsidR="00692024" w:rsidRPr="00692024" w:rsidRDefault="00692024" w:rsidP="00692024">
      <w:r w:rsidRPr="00692024">
        <w:t xml:space="preserve">H-1B grant performance outcome measures will be established using the data collected through the WIOA DOL-only Participant Individual Record Layout - the “DOL-only PIRL” schema. There are 89 </w:t>
      </w:r>
      <w:r w:rsidRPr="00692024">
        <w:lastRenderedPageBreak/>
        <w:t xml:space="preserve">individual PIRL data elements that record demographic data, date of birth (DOB), Social Security Numbers, program start and end dates, training activities, supportive services offered; and outcomes such as credential attainment and employment placement. </w:t>
      </w:r>
    </w:p>
    <w:p w:rsidR="00692024" w:rsidRPr="00692024" w:rsidRDefault="00692024" w:rsidP="00692024">
      <w:r w:rsidRPr="00692024">
        <w:t xml:space="preserve">The </w:t>
      </w:r>
      <w:hyperlink r:id="rId5" w:history="1">
        <w:r w:rsidRPr="00692024">
          <w:rPr>
            <w:rStyle w:val="Hyperlink"/>
          </w:rPr>
          <w:t>Amended ETA 9172 DOL-only PIRL for H-1B Grants</w:t>
        </w:r>
      </w:hyperlink>
      <w:r w:rsidRPr="00692024">
        <w:rPr>
          <w:b/>
          <w:bCs/>
          <w:i/>
          <w:iCs/>
        </w:rPr>
        <w:t xml:space="preserve">  </w:t>
      </w:r>
      <w:r w:rsidRPr="00692024">
        <w:t xml:space="preserve">hyperlink noted here offers detailed information for tracking participant outcomes and contains all of the individual data elements (DEs) and code values required to be tracked for H-1B program participants; and H-1B grantees should align their internal management information systems to collect and track participant records as outlined in the this document. </w:t>
      </w:r>
    </w:p>
    <w:p w:rsidR="00692024" w:rsidRPr="00692024" w:rsidRDefault="00692024" w:rsidP="00692024">
      <w:r w:rsidRPr="00692024">
        <w:t xml:space="preserve">Participant data collected by each grantee based on the PIRL is then compiled into one data file and uploaded to the web-based Workforce Integrated Performance System, called WIPS, each quarter. </w:t>
      </w:r>
    </w:p>
    <w:p w:rsidR="00692024" w:rsidRDefault="00692024">
      <w:pPr>
        <w:rPr>
          <w:b/>
          <w:bCs/>
        </w:rPr>
      </w:pPr>
      <w:r w:rsidRPr="000B3C0C">
        <w:rPr>
          <w:b/>
        </w:rPr>
        <w:t> Slide 8:</w:t>
      </w:r>
      <w:r>
        <w:t xml:space="preserve"> </w:t>
      </w:r>
      <w:r w:rsidRPr="00692024">
        <w:rPr>
          <w:b/>
          <w:bCs/>
        </w:rPr>
        <w:t>H-1B Grant Performance Outcome Measures</w:t>
      </w:r>
    </w:p>
    <w:p w:rsidR="00692024" w:rsidRPr="00692024" w:rsidRDefault="00692024" w:rsidP="00692024">
      <w:r w:rsidRPr="00692024">
        <w:t xml:space="preserve">H-1B grants report on two types of performance outcome measures: </w:t>
      </w:r>
    </w:p>
    <w:p w:rsidR="00000000" w:rsidRPr="00692024" w:rsidRDefault="000B3C0C" w:rsidP="00692024">
      <w:pPr>
        <w:numPr>
          <w:ilvl w:val="0"/>
          <w:numId w:val="2"/>
        </w:numPr>
      </w:pPr>
      <w:r w:rsidRPr="00692024">
        <w:t>The WIOA pri</w:t>
      </w:r>
      <w:r w:rsidRPr="00692024">
        <w:t xml:space="preserve">mary indicators of performance; and </w:t>
      </w:r>
    </w:p>
    <w:p w:rsidR="00000000" w:rsidRPr="00692024" w:rsidRDefault="000B3C0C" w:rsidP="00692024">
      <w:pPr>
        <w:numPr>
          <w:ilvl w:val="0"/>
          <w:numId w:val="2"/>
        </w:numPr>
      </w:pPr>
      <w:r w:rsidRPr="00692024">
        <w:t xml:space="preserve">H-1B specific “real-time” outcome measures. </w:t>
      </w:r>
    </w:p>
    <w:p w:rsidR="00692024" w:rsidRDefault="00692024">
      <w:pPr>
        <w:rPr>
          <w:b/>
          <w:bCs/>
        </w:rPr>
      </w:pPr>
      <w:r w:rsidRPr="000B3C0C">
        <w:rPr>
          <w:b/>
        </w:rPr>
        <w:t>Slide 9:</w:t>
      </w:r>
      <w:r w:rsidR="000B3C0C">
        <w:rPr>
          <w:rFonts w:asciiTheme="majorHAnsi" w:eastAsiaTheme="majorEastAsia" w:hAnsi="Arial" w:cstheme="majorBidi"/>
          <w:b/>
          <w:bCs/>
          <w:color w:val="00588F"/>
          <w:kern w:val="24"/>
          <w:sz w:val="68"/>
          <w:szCs w:val="68"/>
          <w14:shadow w14:blurRad="101600" w14:dist="50800" w14:dir="18900000" w14:sx="0" w14:sy="0" w14:kx="0" w14:ky="0" w14:algn="none">
            <w14:schemeClr w14:val="accent1">
              <w14:alpha w14:val="30000"/>
              <w14:lumMod w14:val="50000"/>
            </w14:schemeClr>
          </w14:shadow>
          <w14:textFill>
            <w14:gradFill>
              <w14:gsLst>
                <w14:gs w14:pos="58000">
                  <w14:schemeClr w14:val="accent6">
                    <w14:lumMod w14:val="75000"/>
                  </w14:schemeClr>
                </w14:gs>
                <w14:gs w14:pos="100000">
                  <w14:schemeClr w14:val="accent1"/>
                </w14:gs>
                <w14:gs w14:pos="19000">
                  <w14:schemeClr w14:val="accent1">
                    <w14:lumMod w14:val="75000"/>
                  </w14:schemeClr>
                </w14:gs>
                <w14:gs w14:pos="46885">
                  <w14:schemeClr w14:val="accent1"/>
                </w14:gs>
                <w14:gs w14:pos="59000">
                  <w14:schemeClr w14:val="accent1">
                    <w14:lumMod w14:val="70000"/>
                  </w14:schemeClr>
                </w14:gs>
              </w14:gsLst>
              <w14:lin w14:ang="5400000" w14:scaled="1"/>
            </w14:gradFill>
          </w14:textFill>
        </w:rPr>
        <w:t xml:space="preserve"> </w:t>
      </w:r>
      <w:r w:rsidRPr="00692024">
        <w:rPr>
          <w:b/>
          <w:bCs/>
        </w:rPr>
        <w:t>WIOA Primary Indicators of Performance</w:t>
      </w:r>
    </w:p>
    <w:p w:rsidR="00692024" w:rsidRPr="00692024" w:rsidRDefault="00692024" w:rsidP="00692024">
      <w:r w:rsidRPr="00692024">
        <w:t xml:space="preserve">The WIOA Primary Indicators of Performance include the measures listed here and definitions of each can be found in Appendix 1 of TEGL 14-18.  The information collected on these measures is used by the Department to assess performance across numerous programs administered by the Department. </w:t>
      </w:r>
    </w:p>
    <w:p w:rsidR="00692024" w:rsidRPr="00692024" w:rsidRDefault="00692024" w:rsidP="00692024">
      <w:r w:rsidRPr="00692024">
        <w:t>They Indicators are:</w:t>
      </w:r>
    </w:p>
    <w:p w:rsidR="00000000" w:rsidRPr="00692024" w:rsidRDefault="000B3C0C" w:rsidP="00692024">
      <w:pPr>
        <w:numPr>
          <w:ilvl w:val="0"/>
          <w:numId w:val="3"/>
        </w:numPr>
      </w:pPr>
      <w:r w:rsidRPr="00692024">
        <w:t>Employment Rate – 2</w:t>
      </w:r>
      <w:r w:rsidRPr="00692024">
        <w:rPr>
          <w:vertAlign w:val="superscript"/>
        </w:rPr>
        <w:t>nd</w:t>
      </w:r>
      <w:r w:rsidRPr="00692024">
        <w:t xml:space="preserve"> Quarter after Exit</w:t>
      </w:r>
    </w:p>
    <w:p w:rsidR="00000000" w:rsidRPr="00692024" w:rsidRDefault="000B3C0C" w:rsidP="00692024">
      <w:pPr>
        <w:numPr>
          <w:ilvl w:val="0"/>
          <w:numId w:val="3"/>
        </w:numPr>
      </w:pPr>
      <w:r w:rsidRPr="00692024">
        <w:t>Employment Rate – 4</w:t>
      </w:r>
      <w:r w:rsidRPr="00692024">
        <w:rPr>
          <w:vertAlign w:val="superscript"/>
        </w:rPr>
        <w:t>th</w:t>
      </w:r>
      <w:r w:rsidRPr="00692024">
        <w:t xml:space="preserve"> Quarter after Exit</w:t>
      </w:r>
    </w:p>
    <w:p w:rsidR="00000000" w:rsidRPr="00692024" w:rsidRDefault="000B3C0C" w:rsidP="00692024">
      <w:pPr>
        <w:numPr>
          <w:ilvl w:val="0"/>
          <w:numId w:val="3"/>
        </w:numPr>
      </w:pPr>
      <w:r w:rsidRPr="00692024">
        <w:t>Median Earnings – 2</w:t>
      </w:r>
      <w:r w:rsidRPr="00692024">
        <w:rPr>
          <w:vertAlign w:val="superscript"/>
        </w:rPr>
        <w:t>nd</w:t>
      </w:r>
      <w:r w:rsidRPr="00692024">
        <w:t xml:space="preserve"> Quarter after Exit</w:t>
      </w:r>
    </w:p>
    <w:p w:rsidR="00000000" w:rsidRPr="00692024" w:rsidRDefault="000B3C0C" w:rsidP="00692024">
      <w:pPr>
        <w:numPr>
          <w:ilvl w:val="0"/>
          <w:numId w:val="3"/>
        </w:numPr>
      </w:pPr>
      <w:r w:rsidRPr="00692024">
        <w:t>Credential Attainment</w:t>
      </w:r>
    </w:p>
    <w:p w:rsidR="00000000" w:rsidRPr="00692024" w:rsidRDefault="000B3C0C" w:rsidP="00692024">
      <w:pPr>
        <w:numPr>
          <w:ilvl w:val="0"/>
          <w:numId w:val="3"/>
        </w:numPr>
      </w:pPr>
      <w:r w:rsidRPr="00692024">
        <w:t>Measurable Skill Gains</w:t>
      </w:r>
    </w:p>
    <w:p w:rsidR="00000000" w:rsidRPr="00692024" w:rsidRDefault="000B3C0C" w:rsidP="00692024">
      <w:pPr>
        <w:numPr>
          <w:ilvl w:val="0"/>
          <w:numId w:val="3"/>
        </w:numPr>
      </w:pPr>
      <w:r w:rsidRPr="00692024">
        <w:t>Effectiveness in Serving Employers</w:t>
      </w:r>
    </w:p>
    <w:p w:rsidR="00692024" w:rsidRDefault="00692024">
      <w:pPr>
        <w:rPr>
          <w:b/>
          <w:bCs/>
        </w:rPr>
      </w:pPr>
      <w:r w:rsidRPr="000B3C0C">
        <w:rPr>
          <w:b/>
        </w:rPr>
        <w:t xml:space="preserve">Slide 10: </w:t>
      </w:r>
      <w:r w:rsidRPr="000B3C0C">
        <w:rPr>
          <w:b/>
          <w:bCs/>
        </w:rPr>
        <w:t>H-1B</w:t>
      </w:r>
      <w:r w:rsidRPr="00692024">
        <w:rPr>
          <w:b/>
          <w:bCs/>
        </w:rPr>
        <w:t xml:space="preserve"> “Real-Time” Performance Measures</w:t>
      </w:r>
    </w:p>
    <w:p w:rsidR="00692024" w:rsidRPr="00692024" w:rsidRDefault="00692024" w:rsidP="00692024">
      <w:r w:rsidRPr="00692024">
        <w:t xml:space="preserve">The H-1B “real-time” performance measures include the outcomes listed here.  Grantees provided outcome targets for these performance indicators in their grant statement of work, and the targets set for these measures are used to evaluate program outcomes during the period of performance. </w:t>
      </w:r>
    </w:p>
    <w:p w:rsidR="00692024" w:rsidRPr="00692024" w:rsidRDefault="00692024" w:rsidP="00692024">
      <w:r w:rsidRPr="00692024">
        <w:t xml:space="preserve">H-1B grantees are required to track and report these employment and training outcome measures for program participants in the reporting quarter in which the outcome occurred.   This real-time data helps grantees benchmark their progress in the most recent reporting quarter against their target outcomes. </w:t>
      </w:r>
    </w:p>
    <w:p w:rsidR="00692024" w:rsidRPr="00692024" w:rsidRDefault="00692024" w:rsidP="00692024">
      <w:r w:rsidRPr="00692024">
        <w:t>The Real Time Measures Are:</w:t>
      </w:r>
    </w:p>
    <w:p w:rsidR="00000000" w:rsidRPr="00692024" w:rsidRDefault="000B3C0C" w:rsidP="00692024">
      <w:pPr>
        <w:numPr>
          <w:ilvl w:val="0"/>
          <w:numId w:val="4"/>
        </w:numPr>
      </w:pPr>
      <w:r w:rsidRPr="00692024">
        <w:lastRenderedPageBreak/>
        <w:t>Tot</w:t>
      </w:r>
      <w:r w:rsidRPr="00692024">
        <w:t>al participants served</w:t>
      </w:r>
    </w:p>
    <w:p w:rsidR="00000000" w:rsidRPr="00692024" w:rsidRDefault="000B3C0C" w:rsidP="00692024">
      <w:pPr>
        <w:numPr>
          <w:ilvl w:val="0"/>
          <w:numId w:val="4"/>
        </w:numPr>
      </w:pPr>
      <w:r w:rsidRPr="00692024">
        <w:t xml:space="preserve"> Total participants enrolled in education/training activities </w:t>
      </w:r>
    </w:p>
    <w:p w:rsidR="00000000" w:rsidRPr="00692024" w:rsidRDefault="000B3C0C" w:rsidP="00692024">
      <w:pPr>
        <w:numPr>
          <w:ilvl w:val="0"/>
          <w:numId w:val="4"/>
        </w:numPr>
      </w:pPr>
      <w:r w:rsidRPr="00692024">
        <w:t xml:space="preserve">Total participants completing </w:t>
      </w:r>
      <w:r w:rsidRPr="00692024">
        <w:t>education/training activities</w:t>
      </w:r>
    </w:p>
    <w:p w:rsidR="00000000" w:rsidRPr="00692024" w:rsidRDefault="000B3C0C" w:rsidP="00692024">
      <w:pPr>
        <w:numPr>
          <w:ilvl w:val="0"/>
          <w:numId w:val="4"/>
        </w:numPr>
      </w:pPr>
      <w:r w:rsidRPr="00692024">
        <w:rPr>
          <w:bCs/>
        </w:rPr>
        <w:t>Total participants who complete education/training activities and receive a degree, or other type of credential</w:t>
      </w:r>
      <w:r w:rsidRPr="00692024">
        <w:t xml:space="preserve"> </w:t>
      </w:r>
    </w:p>
    <w:p w:rsidR="00000000" w:rsidRPr="00692024" w:rsidRDefault="000B3C0C" w:rsidP="00692024">
      <w:pPr>
        <w:numPr>
          <w:ilvl w:val="0"/>
          <w:numId w:val="4"/>
        </w:numPr>
      </w:pPr>
      <w:r w:rsidRPr="00692024">
        <w:rPr>
          <w:bCs/>
        </w:rPr>
        <w:t>Total number of unemployed and underemployed participants who complete education/training activities and obtain employment</w:t>
      </w:r>
    </w:p>
    <w:p w:rsidR="00000000" w:rsidRPr="00692024" w:rsidRDefault="000B3C0C" w:rsidP="00692024">
      <w:pPr>
        <w:numPr>
          <w:ilvl w:val="0"/>
          <w:numId w:val="4"/>
        </w:numPr>
      </w:pPr>
      <w:r w:rsidRPr="00692024">
        <w:t xml:space="preserve">Total number of incumbent worker participants who complete training activities and that advance into a new position. </w:t>
      </w:r>
    </w:p>
    <w:p w:rsidR="00692024" w:rsidRPr="00692024" w:rsidRDefault="00692024" w:rsidP="00692024">
      <w:r w:rsidRPr="00692024">
        <w:t>It should be noted that the “Total participants who complete education/training activities and receive a degree, or other type of credential” and the “Total number of unemployed and underemployed participants who complete education/training activities and obtain employment” measures are separate from, and in addition to, the WIOA primary indicators of performance for “Credential Attainment” and “Employment Rate” mentioned earlier</w:t>
      </w:r>
    </w:p>
    <w:p w:rsidR="00692024" w:rsidRDefault="00692024">
      <w:pPr>
        <w:rPr>
          <w:b/>
          <w:bCs/>
        </w:rPr>
      </w:pPr>
      <w:r w:rsidRPr="00692024">
        <w:rPr>
          <w:b/>
        </w:rPr>
        <w:t>Slide 11:</w:t>
      </w:r>
      <w:r>
        <w:t xml:space="preserve"> </w:t>
      </w:r>
      <w:r w:rsidRPr="00692024">
        <w:rPr>
          <w:b/>
          <w:bCs/>
        </w:rPr>
        <w:t>H-1B Performance Policy</w:t>
      </w:r>
    </w:p>
    <w:p w:rsidR="00692024" w:rsidRPr="00692024" w:rsidRDefault="00692024" w:rsidP="00692024">
      <w:r w:rsidRPr="00692024">
        <w:t>In this section we will describe where terms related to performance and performance reporting are unique for H-1B grants.   Any terms in the TEGL that are not applicable to H-1B grants are noted in the guidance document and will not be covered here.</w:t>
      </w:r>
    </w:p>
    <w:p w:rsidR="00692024" w:rsidRDefault="00692024">
      <w:pPr>
        <w:rPr>
          <w:b/>
          <w:bCs/>
        </w:rPr>
      </w:pPr>
      <w:r w:rsidRPr="00692024">
        <w:rPr>
          <w:b/>
        </w:rPr>
        <w:t>Slide 12:</w:t>
      </w:r>
      <w:r>
        <w:t xml:space="preserve"> </w:t>
      </w:r>
      <w:r w:rsidRPr="00692024">
        <w:rPr>
          <w:b/>
          <w:bCs/>
        </w:rPr>
        <w:t>Participants</w:t>
      </w:r>
    </w:p>
    <w:p w:rsidR="00692024" w:rsidRPr="00692024" w:rsidRDefault="00692024" w:rsidP="00692024">
      <w:r w:rsidRPr="00692024">
        <w:t xml:space="preserve">The H-1B program defines a participant as an individual who receives an H-1B grant-funded service after being determined eligible for the program. </w:t>
      </w:r>
    </w:p>
    <w:p w:rsidR="00692024" w:rsidRPr="00692024" w:rsidRDefault="00692024" w:rsidP="00692024">
      <w:r w:rsidRPr="00692024">
        <w:t xml:space="preserve">Grant-funded services are allowable services and education and training activities applicable to the grantees statement of work and the applicable Funding Opportunity Announcement. </w:t>
      </w:r>
    </w:p>
    <w:p w:rsidR="00692024" w:rsidRPr="00692024" w:rsidRDefault="00692024" w:rsidP="00692024">
      <w:r w:rsidRPr="00692024">
        <w:t xml:space="preserve">Note that each H-1B grant Funding Opportunity Announcement is unique, and you should refer to your specific FOA for additional participant eligibility requirements. </w:t>
      </w:r>
    </w:p>
    <w:p w:rsidR="00692024" w:rsidRPr="00692024" w:rsidRDefault="00692024" w:rsidP="00692024">
      <w:r w:rsidRPr="00692024">
        <w:t xml:space="preserve">Individuals who receive only a determination of eligibility to participate in the program but do receive grant-funded services are NOT considered participants. </w:t>
      </w:r>
    </w:p>
    <w:p w:rsidR="00692024" w:rsidRPr="00692024" w:rsidRDefault="00692024">
      <w:pPr>
        <w:rPr>
          <w:b/>
        </w:rPr>
      </w:pPr>
      <w:r w:rsidRPr="00692024">
        <w:rPr>
          <w:b/>
        </w:rPr>
        <w:t>Slide 13: Exit</w:t>
      </w:r>
    </w:p>
    <w:p w:rsidR="00692024" w:rsidRPr="00692024" w:rsidRDefault="00692024" w:rsidP="00692024">
      <w:r w:rsidRPr="00692024">
        <w:t xml:space="preserve">The H-1B program has adopted the definition of “exit” as stated in section 7 of this guidance. </w:t>
      </w:r>
    </w:p>
    <w:p w:rsidR="00692024" w:rsidRPr="00692024" w:rsidRDefault="00692024" w:rsidP="00692024">
      <w:r w:rsidRPr="00692024">
        <w:t>A participant is considered “exited” from H-1B programs when they have not received grant-funded services for 90 days, and no additional services are planned for the participant.</w:t>
      </w:r>
    </w:p>
    <w:p w:rsidR="00692024" w:rsidRPr="00692024" w:rsidRDefault="00692024" w:rsidP="00692024">
      <w:r w:rsidRPr="00692024">
        <w:t xml:space="preserve">After 90 days have elapsed, grantees should enter the date of exit as </w:t>
      </w:r>
      <w:r w:rsidRPr="00692024">
        <w:rPr>
          <w:u w:val="single"/>
        </w:rPr>
        <w:t xml:space="preserve">the last date the participant received a grant-funded service </w:t>
      </w:r>
      <w:r w:rsidRPr="00692024">
        <w:t>from an H-1B program.</w:t>
      </w:r>
    </w:p>
    <w:p w:rsidR="00692024" w:rsidRPr="00692024" w:rsidRDefault="00692024" w:rsidP="00692024">
      <w:r w:rsidRPr="00692024">
        <w:lastRenderedPageBreak/>
        <w:t xml:space="preserve">Please note that although the definition of “exit” in the TEGL references “follow up services” after a participant exits a program, H-1B grant programs </w:t>
      </w:r>
      <w:r w:rsidRPr="00692024">
        <w:rPr>
          <w:u w:val="single"/>
        </w:rPr>
        <w:t xml:space="preserve">are prohibited </w:t>
      </w:r>
      <w:r w:rsidRPr="00692024">
        <w:t xml:space="preserve">from using grant funds to provide follow up services to participants after they have exited the program. </w:t>
      </w:r>
    </w:p>
    <w:p w:rsidR="00692024" w:rsidRDefault="00692024">
      <w:pPr>
        <w:rPr>
          <w:b/>
        </w:rPr>
      </w:pPr>
      <w:r>
        <w:rPr>
          <w:b/>
        </w:rPr>
        <w:t>Slide 14: Period of Participation</w:t>
      </w:r>
    </w:p>
    <w:p w:rsidR="00692024" w:rsidRPr="00692024" w:rsidRDefault="00692024" w:rsidP="00692024">
      <w:r w:rsidRPr="00692024">
        <w:t xml:space="preserve">The H-1B grant program adopts the definition of period of participation as stated in section 9 of this guidance, </w:t>
      </w:r>
    </w:p>
    <w:p w:rsidR="00692024" w:rsidRPr="00692024" w:rsidRDefault="00692024" w:rsidP="00692024">
      <w:r w:rsidRPr="00692024">
        <w:t>Which is that…</w:t>
      </w:r>
      <w:r w:rsidRPr="00692024">
        <w:rPr>
          <w:i/>
          <w:iCs/>
        </w:rPr>
        <w:t xml:space="preserve">a period of participation refers to the </w:t>
      </w:r>
      <w:proofErr w:type="gramStart"/>
      <w:r w:rsidRPr="00692024">
        <w:rPr>
          <w:i/>
          <w:iCs/>
        </w:rPr>
        <w:t>period of time</w:t>
      </w:r>
      <w:proofErr w:type="gramEnd"/>
      <w:r w:rsidRPr="00692024">
        <w:rPr>
          <w:i/>
          <w:iCs/>
        </w:rPr>
        <w:t xml:space="preserve"> beginning when an individual becomes a participant and ending on the participant’s date of exit from the program</w:t>
      </w:r>
      <w:r w:rsidRPr="00692024">
        <w:t>.</w:t>
      </w:r>
    </w:p>
    <w:p w:rsidR="00692024" w:rsidRDefault="00692024">
      <w:pPr>
        <w:rPr>
          <w:b/>
          <w:bCs/>
        </w:rPr>
      </w:pPr>
      <w:r w:rsidRPr="00692024">
        <w:rPr>
          <w:b/>
        </w:rPr>
        <w:t xml:space="preserve">Slide 15: </w:t>
      </w:r>
      <w:r w:rsidRPr="00692024">
        <w:rPr>
          <w:b/>
          <w:bCs/>
        </w:rPr>
        <w:t>Reporting Unique Participants</w:t>
      </w:r>
    </w:p>
    <w:p w:rsidR="00692024" w:rsidRPr="00692024" w:rsidRDefault="00692024" w:rsidP="00692024">
      <w:r w:rsidRPr="00692024">
        <w:t xml:space="preserve">The H-1B program requires that grantees report on </w:t>
      </w:r>
      <w:proofErr w:type="gramStart"/>
      <w:r w:rsidRPr="00692024">
        <w:t>each individual’s</w:t>
      </w:r>
      <w:proofErr w:type="gramEnd"/>
      <w:r w:rsidRPr="00692024">
        <w:t xml:space="preserve"> period of participation; and does not require a count of unique participants as described in section 9 of this guidance. We anticipate that </w:t>
      </w:r>
      <w:proofErr w:type="gramStart"/>
      <w:r w:rsidRPr="00692024">
        <w:t>the majority of</w:t>
      </w:r>
      <w:proofErr w:type="gramEnd"/>
      <w:r w:rsidRPr="00692024">
        <w:t xml:space="preserve"> H-1B participants will each have only one period of participation in any specific H-1B program. </w:t>
      </w:r>
    </w:p>
    <w:p w:rsidR="00692024" w:rsidRPr="00692024" w:rsidRDefault="00692024" w:rsidP="00692024">
      <w:r w:rsidRPr="00692024">
        <w:t xml:space="preserve">However, in certain cases, a participant who has exited the program after 90 days may return to receive additional services such as additional educational and job training activities. If an individual has multiple periods of participation, they will be counted twice as a unique participant. </w:t>
      </w:r>
    </w:p>
    <w:p w:rsidR="00692024" w:rsidRPr="00692024" w:rsidRDefault="00692024" w:rsidP="00692024">
      <w:r w:rsidRPr="00692024">
        <w:t>To calculate these unique participants period of participation, H-1B uses the following PIRL data elements:</w:t>
      </w:r>
    </w:p>
    <w:p w:rsidR="00692024" w:rsidRPr="00692024" w:rsidRDefault="00692024" w:rsidP="00692024">
      <w:r w:rsidRPr="00692024">
        <w:t>PIRL 200- Date of Birth</w:t>
      </w:r>
    </w:p>
    <w:p w:rsidR="00692024" w:rsidRPr="00692024" w:rsidRDefault="00692024" w:rsidP="00692024">
      <w:r w:rsidRPr="00692024">
        <w:t>PIRL 900- Date of Program Entry</w:t>
      </w:r>
    </w:p>
    <w:p w:rsidR="00692024" w:rsidRPr="00692024" w:rsidRDefault="00692024" w:rsidP="00692024">
      <w:r w:rsidRPr="00692024">
        <w:t>PIRL 901- Date of Program Exit</w:t>
      </w:r>
    </w:p>
    <w:p w:rsidR="00692024" w:rsidRPr="00692024" w:rsidRDefault="00692024" w:rsidP="00692024">
      <w:r w:rsidRPr="00692024">
        <w:t xml:space="preserve">PIRL 2700- Social Security Number </w:t>
      </w:r>
    </w:p>
    <w:p w:rsidR="00692024" w:rsidRDefault="00692024">
      <w:pPr>
        <w:rPr>
          <w:b/>
          <w:bCs/>
        </w:rPr>
      </w:pPr>
      <w:r w:rsidRPr="000B3C0C">
        <w:rPr>
          <w:b/>
        </w:rPr>
        <w:t>Slide 16:</w:t>
      </w:r>
      <w:r>
        <w:t xml:space="preserve"> </w:t>
      </w:r>
      <w:r w:rsidR="000B3C0C" w:rsidRPr="000B3C0C">
        <w:rPr>
          <w:b/>
          <w:bCs/>
        </w:rPr>
        <w:t>The Workforce Integrated Performance System (WIPS)</w:t>
      </w:r>
    </w:p>
    <w:p w:rsidR="000B3C0C" w:rsidRPr="000B3C0C" w:rsidRDefault="000B3C0C" w:rsidP="000B3C0C">
      <w:r w:rsidRPr="000B3C0C">
        <w:t xml:space="preserve">All H-1B grant programs with a start date after July 1, 2016 or later utilize WIPS to report performance data.  </w:t>
      </w:r>
    </w:p>
    <w:p w:rsidR="000B3C0C" w:rsidRPr="000B3C0C" w:rsidRDefault="000B3C0C" w:rsidP="000B3C0C">
      <w:r w:rsidRPr="000B3C0C">
        <w:t>An H-1B program specific QPR form is generated for each grantee from the participant data provided each quarter.</w:t>
      </w:r>
    </w:p>
    <w:p w:rsidR="000B3C0C" w:rsidRPr="000B3C0C" w:rsidRDefault="000B3C0C" w:rsidP="000B3C0C">
      <w:r w:rsidRPr="000B3C0C">
        <w:t xml:space="preserve">For specific details on WIPS reporting requirements, grantees should review the </w:t>
      </w:r>
      <w:r w:rsidRPr="000B3C0C">
        <w:rPr>
          <w:i/>
          <w:iCs/>
        </w:rPr>
        <w:t>H-1B Grants Performance Reporting Handbook</w:t>
      </w:r>
      <w:r w:rsidRPr="000B3C0C">
        <w:t xml:space="preserve">. </w:t>
      </w:r>
    </w:p>
    <w:p w:rsidR="000B3C0C" w:rsidRDefault="000B3C0C">
      <w:pPr>
        <w:rPr>
          <w:b/>
          <w:bCs/>
        </w:rPr>
      </w:pPr>
      <w:r>
        <w:rPr>
          <w:b/>
        </w:rPr>
        <w:t xml:space="preserve">Slide 17: </w:t>
      </w:r>
      <w:r w:rsidRPr="000B3C0C">
        <w:rPr>
          <w:b/>
          <w:bCs/>
        </w:rPr>
        <w:t>Pay-for-Performance Reporting</w:t>
      </w:r>
    </w:p>
    <w:p w:rsidR="000B3C0C" w:rsidRPr="000B3C0C" w:rsidRDefault="000B3C0C" w:rsidP="000B3C0C">
      <w:r w:rsidRPr="000B3C0C">
        <w:t>Some H-1B grantees, such as H-1B TechHire grantees, were encouraged to use pay for performance strategies to lower the costs of training</w:t>
      </w:r>
    </w:p>
    <w:p w:rsidR="000B3C0C" w:rsidRPr="000B3C0C" w:rsidRDefault="000B3C0C" w:rsidP="000B3C0C">
      <w:r w:rsidRPr="000B3C0C">
        <w:t xml:space="preserve">However, there is no requirement for grantees to report these outcomes using PIRL data elements. </w:t>
      </w:r>
    </w:p>
    <w:p w:rsidR="000B3C0C" w:rsidRPr="000B3C0C" w:rsidRDefault="000B3C0C" w:rsidP="000B3C0C">
      <w:r w:rsidRPr="000B3C0C">
        <w:lastRenderedPageBreak/>
        <w:t xml:space="preserve">When reporting “Pay-for-Performance” outcomes, grantees should </w:t>
      </w:r>
      <w:r w:rsidRPr="000B3C0C">
        <w:rPr>
          <w:b/>
          <w:bCs/>
        </w:rPr>
        <w:t xml:space="preserve">not </w:t>
      </w:r>
      <w:r w:rsidRPr="000B3C0C">
        <w:t xml:space="preserve">use PIRL data element 930 “Pay for Performance.” This PIRL data element is not identified for H-1B grants for the purposes of data collection and reporting to </w:t>
      </w:r>
      <w:proofErr w:type="gramStart"/>
      <w:r w:rsidRPr="000B3C0C">
        <w:t>DOL, and</w:t>
      </w:r>
      <w:proofErr w:type="gramEnd"/>
      <w:r w:rsidRPr="000B3C0C">
        <w:t xml:space="preserve"> is only used for certain WIOA programs. </w:t>
      </w:r>
    </w:p>
    <w:p w:rsidR="000B3C0C" w:rsidRPr="000B3C0C" w:rsidRDefault="000B3C0C" w:rsidP="000B3C0C">
      <w:r w:rsidRPr="000B3C0C">
        <w:t>Grantees incorporating a pay for performance strategy in their program design should report these outcomes in their Quarterly Narrative Reports that we will discuss on the next slide.</w:t>
      </w:r>
    </w:p>
    <w:p w:rsidR="000B3C0C" w:rsidRDefault="000B3C0C">
      <w:pPr>
        <w:rPr>
          <w:b/>
          <w:bCs/>
        </w:rPr>
      </w:pPr>
      <w:r>
        <w:rPr>
          <w:b/>
        </w:rPr>
        <w:t xml:space="preserve">Slide 18: </w:t>
      </w:r>
      <w:r w:rsidRPr="000B3C0C">
        <w:rPr>
          <w:b/>
          <w:bCs/>
        </w:rPr>
        <w:t>Quarterly Narrative Reports</w:t>
      </w:r>
    </w:p>
    <w:p w:rsidR="000B3C0C" w:rsidRPr="000B3C0C" w:rsidRDefault="000B3C0C" w:rsidP="000B3C0C">
      <w:r w:rsidRPr="000B3C0C">
        <w:t xml:space="preserve">H-1B grantees are required to use the </w:t>
      </w:r>
      <w:r w:rsidRPr="000B3C0C">
        <w:rPr>
          <w:i/>
          <w:iCs/>
        </w:rPr>
        <w:t xml:space="preserve">Joint Quarterly Narrative Report Template </w:t>
      </w:r>
      <w:r w:rsidRPr="000B3C0C">
        <w:t xml:space="preserve">(ETA-9179) for quarterly performance narrative reporting. </w:t>
      </w:r>
    </w:p>
    <w:p w:rsidR="000B3C0C" w:rsidRPr="000B3C0C" w:rsidRDefault="000B3C0C" w:rsidP="000B3C0C">
      <w:r w:rsidRPr="000B3C0C">
        <w:t xml:space="preserve">H-1B grantees utilize WIPS to submit and certify their </w:t>
      </w:r>
      <w:r w:rsidRPr="000B3C0C">
        <w:rPr>
          <w:i/>
          <w:iCs/>
        </w:rPr>
        <w:t>Quarterly Narrative Report</w:t>
      </w:r>
      <w:r w:rsidRPr="000B3C0C">
        <w:t xml:space="preserve">s each quarter. </w:t>
      </w:r>
    </w:p>
    <w:p w:rsidR="000B3C0C" w:rsidRPr="000B3C0C" w:rsidRDefault="000B3C0C" w:rsidP="000B3C0C">
      <w:r w:rsidRPr="000B3C0C">
        <w:t xml:space="preserve">Additional instructions for completing the QNR in WIPS are included in the H-1B Grants Performance Reporting Handbook and other technical assistance resources on Workforce GPS. </w:t>
      </w:r>
    </w:p>
    <w:p w:rsidR="000B3C0C" w:rsidRDefault="000B3C0C">
      <w:pPr>
        <w:rPr>
          <w:b/>
          <w:bCs/>
        </w:rPr>
      </w:pPr>
      <w:r>
        <w:rPr>
          <w:b/>
        </w:rPr>
        <w:t xml:space="preserve">Slide 19: </w:t>
      </w:r>
      <w:r w:rsidRPr="000B3C0C">
        <w:rPr>
          <w:b/>
          <w:bCs/>
        </w:rPr>
        <w:t>Use of Social Security Numbers for Performance Reporting</w:t>
      </w:r>
    </w:p>
    <w:p w:rsidR="000B3C0C" w:rsidRPr="000B3C0C" w:rsidRDefault="000B3C0C" w:rsidP="000B3C0C">
      <w:r w:rsidRPr="000B3C0C">
        <w:t xml:space="preserve">As noted in the body of TEGL 14-18, H-1B grantees are directed to </w:t>
      </w:r>
      <w:r w:rsidRPr="000B3C0C">
        <w:rPr>
          <w:u w:val="single"/>
        </w:rPr>
        <w:t>request</w:t>
      </w:r>
      <w:r w:rsidRPr="000B3C0C">
        <w:t xml:space="preserve"> participants’ Social Security Numbers, or SSNs.</w:t>
      </w:r>
    </w:p>
    <w:p w:rsidR="000B3C0C" w:rsidRPr="000B3C0C" w:rsidRDefault="000B3C0C" w:rsidP="000B3C0C">
      <w:r w:rsidRPr="000B3C0C">
        <w:t xml:space="preserve">SSN information is reported through WIPS to the Department through PIRL 2700 in the H-1B PIRL schema. </w:t>
      </w:r>
    </w:p>
    <w:p w:rsidR="000B3C0C" w:rsidRPr="000B3C0C" w:rsidRDefault="000B3C0C" w:rsidP="000B3C0C">
      <w:r w:rsidRPr="000B3C0C">
        <w:t xml:space="preserve">It is important to note that while H-1B grantees are directed to request participants’ SSNs, participants cannot be denied services if they choose to not disclose an SSN. </w:t>
      </w:r>
    </w:p>
    <w:p w:rsidR="000B3C0C" w:rsidRPr="000B3C0C" w:rsidRDefault="000B3C0C" w:rsidP="000B3C0C">
      <w:r w:rsidRPr="000B3C0C">
        <w:t>Grantees should also ensure that when they are collecting this information from participants, they inform participants of the reason for requesting SSNs, in accordance with the American Competitiveness and Workforce Improvement Act requirements.</w:t>
      </w:r>
    </w:p>
    <w:p w:rsidR="000B3C0C" w:rsidRDefault="000B3C0C">
      <w:pPr>
        <w:rPr>
          <w:b/>
          <w:bCs/>
        </w:rPr>
      </w:pPr>
      <w:r>
        <w:rPr>
          <w:b/>
        </w:rPr>
        <w:t xml:space="preserve">Slide 20: </w:t>
      </w:r>
      <w:r w:rsidRPr="000B3C0C">
        <w:rPr>
          <w:b/>
          <w:bCs/>
        </w:rPr>
        <w:t>Wage Matching for WIOA Primary Indicators of Performance</w:t>
      </w:r>
    </w:p>
    <w:p w:rsidR="000B3C0C" w:rsidRPr="000B3C0C" w:rsidRDefault="000B3C0C" w:rsidP="000B3C0C">
      <w:r w:rsidRPr="000B3C0C">
        <w:t xml:space="preserve">We understand that H-1B program grantees may not have access to unemployment insurance wage records </w:t>
      </w:r>
      <w:proofErr w:type="gramStart"/>
      <w:r w:rsidRPr="000B3C0C">
        <w:t>in order to</w:t>
      </w:r>
      <w:proofErr w:type="gramEnd"/>
      <w:r w:rsidRPr="000B3C0C">
        <w:t xml:space="preserve"> track and report some of the WIOA Primary Indicators of Performance. Additionally, the reporting timelines for the exit-based WIOA primary indicators of performance generally fall after the conclusion of the grant’s period of performance.   For these reasons, the Department matches unemployment insurance wage records on behalf of grantees to capture the following outcomes for participants that have successfully exited H-1B programs: </w:t>
      </w:r>
    </w:p>
    <w:p w:rsidR="000B3C0C" w:rsidRPr="000B3C0C" w:rsidRDefault="000B3C0C" w:rsidP="000B3C0C">
      <w:r w:rsidRPr="000B3C0C">
        <w:t xml:space="preserve">Employment Rate 2nd Quarter After Exit; </w:t>
      </w:r>
    </w:p>
    <w:p w:rsidR="000B3C0C" w:rsidRPr="000B3C0C" w:rsidRDefault="000B3C0C" w:rsidP="000B3C0C">
      <w:r w:rsidRPr="000B3C0C">
        <w:t xml:space="preserve">Employment Rate 4th Quarter After Exit; </w:t>
      </w:r>
    </w:p>
    <w:p w:rsidR="000B3C0C" w:rsidRPr="000B3C0C" w:rsidRDefault="000B3C0C" w:rsidP="000B3C0C">
      <w:r w:rsidRPr="000B3C0C">
        <w:t xml:space="preserve">Median Earnings 2nd Quarter After Exit; and </w:t>
      </w:r>
    </w:p>
    <w:p w:rsidR="000B3C0C" w:rsidRPr="000B3C0C" w:rsidRDefault="000B3C0C" w:rsidP="000B3C0C">
      <w:r w:rsidRPr="000B3C0C">
        <w:t xml:space="preserve">Effectiveness in Serving Employers through the Retention with Same Employer 2nd and 4th Quarter After Exit. </w:t>
      </w:r>
    </w:p>
    <w:p w:rsidR="000B3C0C" w:rsidRPr="000B3C0C" w:rsidRDefault="000B3C0C" w:rsidP="000B3C0C">
      <w:proofErr w:type="gramStart"/>
      <w:r w:rsidRPr="000B3C0C">
        <w:lastRenderedPageBreak/>
        <w:t>In order to</w:t>
      </w:r>
      <w:proofErr w:type="gramEnd"/>
      <w:r w:rsidRPr="000B3C0C">
        <w:t xml:space="preserve"> capture this these outcomes, in addition to the participant's SSN, H-1B grantees must also report the date of program entry, date of program exit and the reason for the exit using data elements included in the H-1B schema:</w:t>
      </w:r>
    </w:p>
    <w:p w:rsidR="000B3C0C" w:rsidRPr="000B3C0C" w:rsidRDefault="000B3C0C" w:rsidP="000B3C0C">
      <w:r w:rsidRPr="000B3C0C">
        <w:t xml:space="preserve">It is again important to reiterate that while H-1B program grantees are required to as participants for their SSNs, participants cannot be denied program services if they choose to not disclose their SSN. </w:t>
      </w:r>
    </w:p>
    <w:p w:rsidR="000B3C0C" w:rsidRPr="000B3C0C" w:rsidRDefault="000B3C0C" w:rsidP="000B3C0C">
      <w:r w:rsidRPr="000B3C0C">
        <w:t>The WIOA Credential Attainment and Measurable Skill Gains measures are calculated using the participant data provided by grantees and reported to DOL directly through WIPS.</w:t>
      </w:r>
    </w:p>
    <w:p w:rsidR="000B3C0C" w:rsidRDefault="000B3C0C">
      <w:pPr>
        <w:rPr>
          <w:b/>
          <w:bCs/>
        </w:rPr>
      </w:pPr>
      <w:r>
        <w:rPr>
          <w:b/>
        </w:rPr>
        <w:t xml:space="preserve">Slide 21: </w:t>
      </w:r>
      <w:r w:rsidRPr="000B3C0C">
        <w:rPr>
          <w:b/>
          <w:bCs/>
        </w:rPr>
        <w:t>Supplemental Wage Information</w:t>
      </w:r>
    </w:p>
    <w:p w:rsidR="000B3C0C" w:rsidRPr="000B3C0C" w:rsidRDefault="000B3C0C" w:rsidP="000B3C0C">
      <w:r w:rsidRPr="000B3C0C">
        <w:t>H-1B grantees are not required to collect supplemental data for the purposes of reporting the WIOA primary indicators of performance.</w:t>
      </w:r>
    </w:p>
    <w:p w:rsidR="000B3C0C" w:rsidRDefault="000B3C0C">
      <w:pPr>
        <w:rPr>
          <w:b/>
          <w:bCs/>
        </w:rPr>
      </w:pPr>
      <w:r>
        <w:rPr>
          <w:b/>
        </w:rPr>
        <w:t xml:space="preserve">Slide 22: </w:t>
      </w:r>
      <w:r w:rsidRPr="000B3C0C">
        <w:rPr>
          <w:b/>
          <w:bCs/>
        </w:rPr>
        <w:t>Unique Reporting Features of H-1B Grants</w:t>
      </w:r>
    </w:p>
    <w:p w:rsidR="000B3C0C" w:rsidRPr="000B3C0C" w:rsidRDefault="000B3C0C" w:rsidP="000B3C0C">
      <w:r w:rsidRPr="000B3C0C">
        <w:t>Appendix II of this guidance summarizes key terms that are applicable to H-1B grants; not applicable to H-1B grants; and provides the definitions or citations for specific terms unique to H-1B grants.</w:t>
      </w:r>
    </w:p>
    <w:p w:rsidR="000B3C0C" w:rsidRDefault="000B3C0C">
      <w:pPr>
        <w:rPr>
          <w:b/>
          <w:bCs/>
        </w:rPr>
      </w:pPr>
      <w:r>
        <w:rPr>
          <w:b/>
        </w:rPr>
        <w:t xml:space="preserve">Slide 23: </w:t>
      </w:r>
      <w:r w:rsidRPr="000B3C0C">
        <w:rPr>
          <w:b/>
          <w:bCs/>
        </w:rPr>
        <w:t>Terms that Apply to H-1B Grants</w:t>
      </w:r>
    </w:p>
    <w:p w:rsidR="000B3C0C" w:rsidRPr="000B3C0C" w:rsidRDefault="000B3C0C" w:rsidP="000B3C0C">
      <w:r w:rsidRPr="000B3C0C">
        <w:t>The terms noted here, from Appendix II are applicable to H-1B grants.</w:t>
      </w:r>
    </w:p>
    <w:p w:rsidR="000B3C0C" w:rsidRDefault="000B3C0C">
      <w:pPr>
        <w:rPr>
          <w:b/>
          <w:bCs/>
        </w:rPr>
      </w:pPr>
      <w:r>
        <w:rPr>
          <w:b/>
        </w:rPr>
        <w:t xml:space="preserve">Slide 24: </w:t>
      </w:r>
      <w:r w:rsidRPr="000B3C0C">
        <w:rPr>
          <w:b/>
          <w:bCs/>
        </w:rPr>
        <w:t>Terms that Apply to H-1B Grants</w:t>
      </w:r>
    </w:p>
    <w:p w:rsidR="000B3C0C" w:rsidRPr="000B3C0C" w:rsidRDefault="000B3C0C" w:rsidP="000B3C0C">
      <w:r w:rsidRPr="000B3C0C">
        <w:t>The terms “incumbent worker” and “customized training” are unique for H-1B grants and are defined as noted here.</w:t>
      </w:r>
    </w:p>
    <w:p w:rsidR="000B3C0C" w:rsidRPr="000B3C0C" w:rsidRDefault="000B3C0C" w:rsidP="000B3C0C">
      <w:r w:rsidRPr="000B3C0C">
        <w:t xml:space="preserve">H-1B grantees should review TEGL 14-18, the applicable FOA, and the </w:t>
      </w:r>
      <w:r w:rsidRPr="000B3C0C">
        <w:rPr>
          <w:i/>
          <w:iCs/>
        </w:rPr>
        <w:t xml:space="preserve">H-1B Grants Performance Reporting Handbook </w:t>
      </w:r>
      <w:r w:rsidRPr="000B3C0C">
        <w:t xml:space="preserve">for terms that apply to their specific H-1B grant funded program. </w:t>
      </w:r>
    </w:p>
    <w:p w:rsidR="000B3C0C" w:rsidRDefault="000B3C0C">
      <w:pPr>
        <w:rPr>
          <w:b/>
        </w:rPr>
      </w:pPr>
      <w:r>
        <w:rPr>
          <w:b/>
        </w:rPr>
        <w:t>Slide 25: Resources</w:t>
      </w:r>
    </w:p>
    <w:p w:rsidR="000B3C0C" w:rsidRPr="000B3C0C" w:rsidRDefault="000B3C0C" w:rsidP="000B3C0C">
      <w:r w:rsidRPr="000B3C0C">
        <w:t>There are numerous performance reporting resources available to H-1B grantees.   Specific guidance for each H-1B grant program can be found at the sites noted here.</w:t>
      </w:r>
    </w:p>
    <w:p w:rsidR="000B3C0C" w:rsidRPr="000B3C0C" w:rsidRDefault="000B3C0C" w:rsidP="000B3C0C">
      <w:r w:rsidRPr="000B3C0C">
        <w:t>If you have specific performance-related questions, we encourage you to send your questions to the appropriate grant mailbox listed here.</w:t>
      </w:r>
    </w:p>
    <w:p w:rsidR="000B3C0C" w:rsidRPr="000B3C0C" w:rsidRDefault="000B3C0C" w:rsidP="000B3C0C">
      <w:r w:rsidRPr="000B3C0C">
        <w:t>Thank you for your time today.</w:t>
      </w:r>
    </w:p>
    <w:p w:rsidR="000B3C0C" w:rsidRPr="000B3C0C" w:rsidRDefault="000B3C0C"/>
    <w:sectPr w:rsidR="000B3C0C" w:rsidRPr="000B3C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AC5428"/>
    <w:multiLevelType w:val="hybridMultilevel"/>
    <w:tmpl w:val="90381A78"/>
    <w:lvl w:ilvl="0" w:tplc="D35E6430">
      <w:start w:val="1"/>
      <w:numFmt w:val="bullet"/>
      <w:lvlText w:val="•"/>
      <w:lvlJc w:val="left"/>
      <w:pPr>
        <w:tabs>
          <w:tab w:val="num" w:pos="720"/>
        </w:tabs>
        <w:ind w:left="720" w:hanging="360"/>
      </w:pPr>
      <w:rPr>
        <w:rFonts w:ascii="Arial" w:hAnsi="Arial" w:hint="default"/>
      </w:rPr>
    </w:lvl>
    <w:lvl w:ilvl="1" w:tplc="F8D0F606" w:tentative="1">
      <w:start w:val="1"/>
      <w:numFmt w:val="bullet"/>
      <w:lvlText w:val="•"/>
      <w:lvlJc w:val="left"/>
      <w:pPr>
        <w:tabs>
          <w:tab w:val="num" w:pos="1440"/>
        </w:tabs>
        <w:ind w:left="1440" w:hanging="360"/>
      </w:pPr>
      <w:rPr>
        <w:rFonts w:ascii="Arial" w:hAnsi="Arial" w:hint="default"/>
      </w:rPr>
    </w:lvl>
    <w:lvl w:ilvl="2" w:tplc="E09E9380" w:tentative="1">
      <w:start w:val="1"/>
      <w:numFmt w:val="bullet"/>
      <w:lvlText w:val="•"/>
      <w:lvlJc w:val="left"/>
      <w:pPr>
        <w:tabs>
          <w:tab w:val="num" w:pos="2160"/>
        </w:tabs>
        <w:ind w:left="2160" w:hanging="360"/>
      </w:pPr>
      <w:rPr>
        <w:rFonts w:ascii="Arial" w:hAnsi="Arial" w:hint="default"/>
      </w:rPr>
    </w:lvl>
    <w:lvl w:ilvl="3" w:tplc="1862AC92" w:tentative="1">
      <w:start w:val="1"/>
      <w:numFmt w:val="bullet"/>
      <w:lvlText w:val="•"/>
      <w:lvlJc w:val="left"/>
      <w:pPr>
        <w:tabs>
          <w:tab w:val="num" w:pos="2880"/>
        </w:tabs>
        <w:ind w:left="2880" w:hanging="360"/>
      </w:pPr>
      <w:rPr>
        <w:rFonts w:ascii="Arial" w:hAnsi="Arial" w:hint="default"/>
      </w:rPr>
    </w:lvl>
    <w:lvl w:ilvl="4" w:tplc="EEEA382E" w:tentative="1">
      <w:start w:val="1"/>
      <w:numFmt w:val="bullet"/>
      <w:lvlText w:val="•"/>
      <w:lvlJc w:val="left"/>
      <w:pPr>
        <w:tabs>
          <w:tab w:val="num" w:pos="3600"/>
        </w:tabs>
        <w:ind w:left="3600" w:hanging="360"/>
      </w:pPr>
      <w:rPr>
        <w:rFonts w:ascii="Arial" w:hAnsi="Arial" w:hint="default"/>
      </w:rPr>
    </w:lvl>
    <w:lvl w:ilvl="5" w:tplc="8BEC51A6" w:tentative="1">
      <w:start w:val="1"/>
      <w:numFmt w:val="bullet"/>
      <w:lvlText w:val="•"/>
      <w:lvlJc w:val="left"/>
      <w:pPr>
        <w:tabs>
          <w:tab w:val="num" w:pos="4320"/>
        </w:tabs>
        <w:ind w:left="4320" w:hanging="360"/>
      </w:pPr>
      <w:rPr>
        <w:rFonts w:ascii="Arial" w:hAnsi="Arial" w:hint="default"/>
      </w:rPr>
    </w:lvl>
    <w:lvl w:ilvl="6" w:tplc="9E523C94" w:tentative="1">
      <w:start w:val="1"/>
      <w:numFmt w:val="bullet"/>
      <w:lvlText w:val="•"/>
      <w:lvlJc w:val="left"/>
      <w:pPr>
        <w:tabs>
          <w:tab w:val="num" w:pos="5040"/>
        </w:tabs>
        <w:ind w:left="5040" w:hanging="360"/>
      </w:pPr>
      <w:rPr>
        <w:rFonts w:ascii="Arial" w:hAnsi="Arial" w:hint="default"/>
      </w:rPr>
    </w:lvl>
    <w:lvl w:ilvl="7" w:tplc="71C07150" w:tentative="1">
      <w:start w:val="1"/>
      <w:numFmt w:val="bullet"/>
      <w:lvlText w:val="•"/>
      <w:lvlJc w:val="left"/>
      <w:pPr>
        <w:tabs>
          <w:tab w:val="num" w:pos="5760"/>
        </w:tabs>
        <w:ind w:left="5760" w:hanging="360"/>
      </w:pPr>
      <w:rPr>
        <w:rFonts w:ascii="Arial" w:hAnsi="Arial" w:hint="default"/>
      </w:rPr>
    </w:lvl>
    <w:lvl w:ilvl="8" w:tplc="889C646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1287E92"/>
    <w:multiLevelType w:val="hybridMultilevel"/>
    <w:tmpl w:val="2E8E7F90"/>
    <w:lvl w:ilvl="0" w:tplc="5C405D62">
      <w:start w:val="1"/>
      <w:numFmt w:val="bullet"/>
      <w:lvlText w:val="•"/>
      <w:lvlJc w:val="left"/>
      <w:pPr>
        <w:tabs>
          <w:tab w:val="num" w:pos="720"/>
        </w:tabs>
        <w:ind w:left="720" w:hanging="360"/>
      </w:pPr>
      <w:rPr>
        <w:rFonts w:ascii="Arial" w:hAnsi="Arial" w:hint="default"/>
      </w:rPr>
    </w:lvl>
    <w:lvl w:ilvl="1" w:tplc="02DE427E" w:tentative="1">
      <w:start w:val="1"/>
      <w:numFmt w:val="bullet"/>
      <w:lvlText w:val="•"/>
      <w:lvlJc w:val="left"/>
      <w:pPr>
        <w:tabs>
          <w:tab w:val="num" w:pos="1440"/>
        </w:tabs>
        <w:ind w:left="1440" w:hanging="360"/>
      </w:pPr>
      <w:rPr>
        <w:rFonts w:ascii="Arial" w:hAnsi="Arial" w:hint="default"/>
      </w:rPr>
    </w:lvl>
    <w:lvl w:ilvl="2" w:tplc="3A9E4F4C" w:tentative="1">
      <w:start w:val="1"/>
      <w:numFmt w:val="bullet"/>
      <w:lvlText w:val="•"/>
      <w:lvlJc w:val="left"/>
      <w:pPr>
        <w:tabs>
          <w:tab w:val="num" w:pos="2160"/>
        </w:tabs>
        <w:ind w:left="2160" w:hanging="360"/>
      </w:pPr>
      <w:rPr>
        <w:rFonts w:ascii="Arial" w:hAnsi="Arial" w:hint="default"/>
      </w:rPr>
    </w:lvl>
    <w:lvl w:ilvl="3" w:tplc="82300B92" w:tentative="1">
      <w:start w:val="1"/>
      <w:numFmt w:val="bullet"/>
      <w:lvlText w:val="•"/>
      <w:lvlJc w:val="left"/>
      <w:pPr>
        <w:tabs>
          <w:tab w:val="num" w:pos="2880"/>
        </w:tabs>
        <w:ind w:left="2880" w:hanging="360"/>
      </w:pPr>
      <w:rPr>
        <w:rFonts w:ascii="Arial" w:hAnsi="Arial" w:hint="default"/>
      </w:rPr>
    </w:lvl>
    <w:lvl w:ilvl="4" w:tplc="4DECD6A6" w:tentative="1">
      <w:start w:val="1"/>
      <w:numFmt w:val="bullet"/>
      <w:lvlText w:val="•"/>
      <w:lvlJc w:val="left"/>
      <w:pPr>
        <w:tabs>
          <w:tab w:val="num" w:pos="3600"/>
        </w:tabs>
        <w:ind w:left="3600" w:hanging="360"/>
      </w:pPr>
      <w:rPr>
        <w:rFonts w:ascii="Arial" w:hAnsi="Arial" w:hint="default"/>
      </w:rPr>
    </w:lvl>
    <w:lvl w:ilvl="5" w:tplc="1EE21F50" w:tentative="1">
      <w:start w:val="1"/>
      <w:numFmt w:val="bullet"/>
      <w:lvlText w:val="•"/>
      <w:lvlJc w:val="left"/>
      <w:pPr>
        <w:tabs>
          <w:tab w:val="num" w:pos="4320"/>
        </w:tabs>
        <w:ind w:left="4320" w:hanging="360"/>
      </w:pPr>
      <w:rPr>
        <w:rFonts w:ascii="Arial" w:hAnsi="Arial" w:hint="default"/>
      </w:rPr>
    </w:lvl>
    <w:lvl w:ilvl="6" w:tplc="888CF6AA" w:tentative="1">
      <w:start w:val="1"/>
      <w:numFmt w:val="bullet"/>
      <w:lvlText w:val="•"/>
      <w:lvlJc w:val="left"/>
      <w:pPr>
        <w:tabs>
          <w:tab w:val="num" w:pos="5040"/>
        </w:tabs>
        <w:ind w:left="5040" w:hanging="360"/>
      </w:pPr>
      <w:rPr>
        <w:rFonts w:ascii="Arial" w:hAnsi="Arial" w:hint="default"/>
      </w:rPr>
    </w:lvl>
    <w:lvl w:ilvl="7" w:tplc="766A3D6A" w:tentative="1">
      <w:start w:val="1"/>
      <w:numFmt w:val="bullet"/>
      <w:lvlText w:val="•"/>
      <w:lvlJc w:val="left"/>
      <w:pPr>
        <w:tabs>
          <w:tab w:val="num" w:pos="5760"/>
        </w:tabs>
        <w:ind w:left="5760" w:hanging="360"/>
      </w:pPr>
      <w:rPr>
        <w:rFonts w:ascii="Arial" w:hAnsi="Arial" w:hint="default"/>
      </w:rPr>
    </w:lvl>
    <w:lvl w:ilvl="8" w:tplc="86A046EC"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38447C6"/>
    <w:multiLevelType w:val="hybridMultilevel"/>
    <w:tmpl w:val="7ECCFA06"/>
    <w:lvl w:ilvl="0" w:tplc="6E02B2AE">
      <w:start w:val="1"/>
      <w:numFmt w:val="bullet"/>
      <w:lvlText w:val=""/>
      <w:lvlJc w:val="left"/>
      <w:pPr>
        <w:tabs>
          <w:tab w:val="num" w:pos="720"/>
        </w:tabs>
        <w:ind w:left="720" w:hanging="360"/>
      </w:pPr>
      <w:rPr>
        <w:rFonts w:ascii="Wingdings 2" w:hAnsi="Wingdings 2" w:hint="default"/>
      </w:rPr>
    </w:lvl>
    <w:lvl w:ilvl="1" w:tplc="5DDE7B06" w:tentative="1">
      <w:start w:val="1"/>
      <w:numFmt w:val="bullet"/>
      <w:lvlText w:val=""/>
      <w:lvlJc w:val="left"/>
      <w:pPr>
        <w:tabs>
          <w:tab w:val="num" w:pos="1440"/>
        </w:tabs>
        <w:ind w:left="1440" w:hanging="360"/>
      </w:pPr>
      <w:rPr>
        <w:rFonts w:ascii="Wingdings 2" w:hAnsi="Wingdings 2" w:hint="default"/>
      </w:rPr>
    </w:lvl>
    <w:lvl w:ilvl="2" w:tplc="FCB421D8" w:tentative="1">
      <w:start w:val="1"/>
      <w:numFmt w:val="bullet"/>
      <w:lvlText w:val=""/>
      <w:lvlJc w:val="left"/>
      <w:pPr>
        <w:tabs>
          <w:tab w:val="num" w:pos="2160"/>
        </w:tabs>
        <w:ind w:left="2160" w:hanging="360"/>
      </w:pPr>
      <w:rPr>
        <w:rFonts w:ascii="Wingdings 2" w:hAnsi="Wingdings 2" w:hint="default"/>
      </w:rPr>
    </w:lvl>
    <w:lvl w:ilvl="3" w:tplc="BAEA45EC" w:tentative="1">
      <w:start w:val="1"/>
      <w:numFmt w:val="bullet"/>
      <w:lvlText w:val=""/>
      <w:lvlJc w:val="left"/>
      <w:pPr>
        <w:tabs>
          <w:tab w:val="num" w:pos="2880"/>
        </w:tabs>
        <w:ind w:left="2880" w:hanging="360"/>
      </w:pPr>
      <w:rPr>
        <w:rFonts w:ascii="Wingdings 2" w:hAnsi="Wingdings 2" w:hint="default"/>
      </w:rPr>
    </w:lvl>
    <w:lvl w:ilvl="4" w:tplc="DA5EC10E" w:tentative="1">
      <w:start w:val="1"/>
      <w:numFmt w:val="bullet"/>
      <w:lvlText w:val=""/>
      <w:lvlJc w:val="left"/>
      <w:pPr>
        <w:tabs>
          <w:tab w:val="num" w:pos="3600"/>
        </w:tabs>
        <w:ind w:left="3600" w:hanging="360"/>
      </w:pPr>
      <w:rPr>
        <w:rFonts w:ascii="Wingdings 2" w:hAnsi="Wingdings 2" w:hint="default"/>
      </w:rPr>
    </w:lvl>
    <w:lvl w:ilvl="5" w:tplc="ACA249AA" w:tentative="1">
      <w:start w:val="1"/>
      <w:numFmt w:val="bullet"/>
      <w:lvlText w:val=""/>
      <w:lvlJc w:val="left"/>
      <w:pPr>
        <w:tabs>
          <w:tab w:val="num" w:pos="4320"/>
        </w:tabs>
        <w:ind w:left="4320" w:hanging="360"/>
      </w:pPr>
      <w:rPr>
        <w:rFonts w:ascii="Wingdings 2" w:hAnsi="Wingdings 2" w:hint="default"/>
      </w:rPr>
    </w:lvl>
    <w:lvl w:ilvl="6" w:tplc="86503938" w:tentative="1">
      <w:start w:val="1"/>
      <w:numFmt w:val="bullet"/>
      <w:lvlText w:val=""/>
      <w:lvlJc w:val="left"/>
      <w:pPr>
        <w:tabs>
          <w:tab w:val="num" w:pos="5040"/>
        </w:tabs>
        <w:ind w:left="5040" w:hanging="360"/>
      </w:pPr>
      <w:rPr>
        <w:rFonts w:ascii="Wingdings 2" w:hAnsi="Wingdings 2" w:hint="default"/>
      </w:rPr>
    </w:lvl>
    <w:lvl w:ilvl="7" w:tplc="A808D4DE" w:tentative="1">
      <w:start w:val="1"/>
      <w:numFmt w:val="bullet"/>
      <w:lvlText w:val=""/>
      <w:lvlJc w:val="left"/>
      <w:pPr>
        <w:tabs>
          <w:tab w:val="num" w:pos="5760"/>
        </w:tabs>
        <w:ind w:left="5760" w:hanging="360"/>
      </w:pPr>
      <w:rPr>
        <w:rFonts w:ascii="Wingdings 2" w:hAnsi="Wingdings 2" w:hint="default"/>
      </w:rPr>
    </w:lvl>
    <w:lvl w:ilvl="8" w:tplc="0942A7F2" w:tentative="1">
      <w:start w:val="1"/>
      <w:numFmt w:val="bullet"/>
      <w:lvlText w:val=""/>
      <w:lvlJc w:val="left"/>
      <w:pPr>
        <w:tabs>
          <w:tab w:val="num" w:pos="6480"/>
        </w:tabs>
        <w:ind w:left="6480" w:hanging="360"/>
      </w:pPr>
      <w:rPr>
        <w:rFonts w:ascii="Wingdings 2" w:hAnsi="Wingdings 2" w:hint="default"/>
      </w:rPr>
    </w:lvl>
  </w:abstractNum>
  <w:abstractNum w:abstractNumId="3" w15:restartNumberingAfterBreak="0">
    <w:nsid w:val="56C207E7"/>
    <w:multiLevelType w:val="hybridMultilevel"/>
    <w:tmpl w:val="9FFAB57E"/>
    <w:lvl w:ilvl="0" w:tplc="3B78D310">
      <w:start w:val="1"/>
      <w:numFmt w:val="bullet"/>
      <w:lvlText w:val=""/>
      <w:lvlJc w:val="left"/>
      <w:pPr>
        <w:tabs>
          <w:tab w:val="num" w:pos="720"/>
        </w:tabs>
        <w:ind w:left="720" w:hanging="360"/>
      </w:pPr>
      <w:rPr>
        <w:rFonts w:ascii="Wingdings 2" w:hAnsi="Wingdings 2" w:hint="default"/>
      </w:rPr>
    </w:lvl>
    <w:lvl w:ilvl="1" w:tplc="A62C6038" w:tentative="1">
      <w:start w:val="1"/>
      <w:numFmt w:val="bullet"/>
      <w:lvlText w:val=""/>
      <w:lvlJc w:val="left"/>
      <w:pPr>
        <w:tabs>
          <w:tab w:val="num" w:pos="1440"/>
        </w:tabs>
        <w:ind w:left="1440" w:hanging="360"/>
      </w:pPr>
      <w:rPr>
        <w:rFonts w:ascii="Wingdings 2" w:hAnsi="Wingdings 2" w:hint="default"/>
      </w:rPr>
    </w:lvl>
    <w:lvl w:ilvl="2" w:tplc="C2247C58" w:tentative="1">
      <w:start w:val="1"/>
      <w:numFmt w:val="bullet"/>
      <w:lvlText w:val=""/>
      <w:lvlJc w:val="left"/>
      <w:pPr>
        <w:tabs>
          <w:tab w:val="num" w:pos="2160"/>
        </w:tabs>
        <w:ind w:left="2160" w:hanging="360"/>
      </w:pPr>
      <w:rPr>
        <w:rFonts w:ascii="Wingdings 2" w:hAnsi="Wingdings 2" w:hint="default"/>
      </w:rPr>
    </w:lvl>
    <w:lvl w:ilvl="3" w:tplc="CEBEE5C6" w:tentative="1">
      <w:start w:val="1"/>
      <w:numFmt w:val="bullet"/>
      <w:lvlText w:val=""/>
      <w:lvlJc w:val="left"/>
      <w:pPr>
        <w:tabs>
          <w:tab w:val="num" w:pos="2880"/>
        </w:tabs>
        <w:ind w:left="2880" w:hanging="360"/>
      </w:pPr>
      <w:rPr>
        <w:rFonts w:ascii="Wingdings 2" w:hAnsi="Wingdings 2" w:hint="default"/>
      </w:rPr>
    </w:lvl>
    <w:lvl w:ilvl="4" w:tplc="9DAA2892" w:tentative="1">
      <w:start w:val="1"/>
      <w:numFmt w:val="bullet"/>
      <w:lvlText w:val=""/>
      <w:lvlJc w:val="left"/>
      <w:pPr>
        <w:tabs>
          <w:tab w:val="num" w:pos="3600"/>
        </w:tabs>
        <w:ind w:left="3600" w:hanging="360"/>
      </w:pPr>
      <w:rPr>
        <w:rFonts w:ascii="Wingdings 2" w:hAnsi="Wingdings 2" w:hint="default"/>
      </w:rPr>
    </w:lvl>
    <w:lvl w:ilvl="5" w:tplc="AD8EB8FE" w:tentative="1">
      <w:start w:val="1"/>
      <w:numFmt w:val="bullet"/>
      <w:lvlText w:val=""/>
      <w:lvlJc w:val="left"/>
      <w:pPr>
        <w:tabs>
          <w:tab w:val="num" w:pos="4320"/>
        </w:tabs>
        <w:ind w:left="4320" w:hanging="360"/>
      </w:pPr>
      <w:rPr>
        <w:rFonts w:ascii="Wingdings 2" w:hAnsi="Wingdings 2" w:hint="default"/>
      </w:rPr>
    </w:lvl>
    <w:lvl w:ilvl="6" w:tplc="966EA04C" w:tentative="1">
      <w:start w:val="1"/>
      <w:numFmt w:val="bullet"/>
      <w:lvlText w:val=""/>
      <w:lvlJc w:val="left"/>
      <w:pPr>
        <w:tabs>
          <w:tab w:val="num" w:pos="5040"/>
        </w:tabs>
        <w:ind w:left="5040" w:hanging="360"/>
      </w:pPr>
      <w:rPr>
        <w:rFonts w:ascii="Wingdings 2" w:hAnsi="Wingdings 2" w:hint="default"/>
      </w:rPr>
    </w:lvl>
    <w:lvl w:ilvl="7" w:tplc="0D90AFBC" w:tentative="1">
      <w:start w:val="1"/>
      <w:numFmt w:val="bullet"/>
      <w:lvlText w:val=""/>
      <w:lvlJc w:val="left"/>
      <w:pPr>
        <w:tabs>
          <w:tab w:val="num" w:pos="5760"/>
        </w:tabs>
        <w:ind w:left="5760" w:hanging="360"/>
      </w:pPr>
      <w:rPr>
        <w:rFonts w:ascii="Wingdings 2" w:hAnsi="Wingdings 2" w:hint="default"/>
      </w:rPr>
    </w:lvl>
    <w:lvl w:ilvl="8" w:tplc="72AED79A" w:tentative="1">
      <w:start w:val="1"/>
      <w:numFmt w:val="bullet"/>
      <w:lvlText w:val=""/>
      <w:lvlJc w:val="left"/>
      <w:pPr>
        <w:tabs>
          <w:tab w:val="num" w:pos="6480"/>
        </w:tabs>
        <w:ind w:left="6480" w:hanging="360"/>
      </w:pPr>
      <w:rPr>
        <w:rFonts w:ascii="Wingdings 2" w:hAnsi="Wingdings 2"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024"/>
    <w:rsid w:val="000B3C0C"/>
    <w:rsid w:val="002929BD"/>
    <w:rsid w:val="00692024"/>
    <w:rsid w:val="00FA4B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83AE3"/>
  <w15:chartTrackingRefBased/>
  <w15:docId w15:val="{D9661286-C073-4ACA-8399-042B3A4E1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92024"/>
    <w:pPr>
      <w:ind w:left="720"/>
      <w:contextualSpacing/>
    </w:pPr>
  </w:style>
  <w:style w:type="character" w:styleId="Hyperlink">
    <w:name w:val="Hyperlink"/>
    <w:basedOn w:val="DefaultParagraphFont"/>
    <w:uiPriority w:val="99"/>
    <w:unhideWhenUsed/>
    <w:rsid w:val="00692024"/>
    <w:rPr>
      <w:color w:val="0563C1" w:themeColor="hyperlink"/>
      <w:u w:val="single"/>
    </w:rPr>
  </w:style>
  <w:style w:type="character" w:styleId="UnresolvedMention">
    <w:name w:val="Unresolved Mention"/>
    <w:basedOn w:val="DefaultParagraphFont"/>
    <w:uiPriority w:val="99"/>
    <w:semiHidden/>
    <w:unhideWhenUsed/>
    <w:rsid w:val="00692024"/>
    <w:rPr>
      <w:color w:val="808080"/>
      <w:shd w:val="clear" w:color="auto" w:fill="E6E6E6"/>
    </w:rPr>
  </w:style>
  <w:style w:type="paragraph" w:styleId="Title">
    <w:name w:val="Title"/>
    <w:basedOn w:val="Normal"/>
    <w:next w:val="Normal"/>
    <w:link w:val="TitleChar"/>
    <w:uiPriority w:val="10"/>
    <w:qFormat/>
    <w:rsid w:val="000B3C0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3C0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8453191">
      <w:bodyDiv w:val="1"/>
      <w:marLeft w:val="0"/>
      <w:marRight w:val="0"/>
      <w:marTop w:val="0"/>
      <w:marBottom w:val="0"/>
      <w:divBdr>
        <w:top w:val="none" w:sz="0" w:space="0" w:color="auto"/>
        <w:left w:val="none" w:sz="0" w:space="0" w:color="auto"/>
        <w:bottom w:val="none" w:sz="0" w:space="0" w:color="auto"/>
        <w:right w:val="none" w:sz="0" w:space="0" w:color="auto"/>
      </w:divBdr>
    </w:div>
    <w:div w:id="315424929">
      <w:bodyDiv w:val="1"/>
      <w:marLeft w:val="0"/>
      <w:marRight w:val="0"/>
      <w:marTop w:val="0"/>
      <w:marBottom w:val="0"/>
      <w:divBdr>
        <w:top w:val="none" w:sz="0" w:space="0" w:color="auto"/>
        <w:left w:val="none" w:sz="0" w:space="0" w:color="auto"/>
        <w:bottom w:val="none" w:sz="0" w:space="0" w:color="auto"/>
        <w:right w:val="none" w:sz="0" w:space="0" w:color="auto"/>
      </w:divBdr>
    </w:div>
    <w:div w:id="507722089">
      <w:bodyDiv w:val="1"/>
      <w:marLeft w:val="0"/>
      <w:marRight w:val="0"/>
      <w:marTop w:val="0"/>
      <w:marBottom w:val="0"/>
      <w:divBdr>
        <w:top w:val="none" w:sz="0" w:space="0" w:color="auto"/>
        <w:left w:val="none" w:sz="0" w:space="0" w:color="auto"/>
        <w:bottom w:val="none" w:sz="0" w:space="0" w:color="auto"/>
        <w:right w:val="none" w:sz="0" w:space="0" w:color="auto"/>
      </w:divBdr>
    </w:div>
    <w:div w:id="694581881">
      <w:bodyDiv w:val="1"/>
      <w:marLeft w:val="0"/>
      <w:marRight w:val="0"/>
      <w:marTop w:val="0"/>
      <w:marBottom w:val="0"/>
      <w:divBdr>
        <w:top w:val="none" w:sz="0" w:space="0" w:color="auto"/>
        <w:left w:val="none" w:sz="0" w:space="0" w:color="auto"/>
        <w:bottom w:val="none" w:sz="0" w:space="0" w:color="auto"/>
        <w:right w:val="none" w:sz="0" w:space="0" w:color="auto"/>
      </w:divBdr>
    </w:div>
    <w:div w:id="706833313">
      <w:bodyDiv w:val="1"/>
      <w:marLeft w:val="0"/>
      <w:marRight w:val="0"/>
      <w:marTop w:val="0"/>
      <w:marBottom w:val="0"/>
      <w:divBdr>
        <w:top w:val="none" w:sz="0" w:space="0" w:color="auto"/>
        <w:left w:val="none" w:sz="0" w:space="0" w:color="auto"/>
        <w:bottom w:val="none" w:sz="0" w:space="0" w:color="auto"/>
        <w:right w:val="none" w:sz="0" w:space="0" w:color="auto"/>
      </w:divBdr>
      <w:divsChild>
        <w:div w:id="621686969">
          <w:marLeft w:val="432"/>
          <w:marRight w:val="0"/>
          <w:marTop w:val="360"/>
          <w:marBottom w:val="0"/>
          <w:divBdr>
            <w:top w:val="none" w:sz="0" w:space="0" w:color="auto"/>
            <w:left w:val="none" w:sz="0" w:space="0" w:color="auto"/>
            <w:bottom w:val="none" w:sz="0" w:space="0" w:color="auto"/>
            <w:right w:val="none" w:sz="0" w:space="0" w:color="auto"/>
          </w:divBdr>
        </w:div>
        <w:div w:id="712509494">
          <w:marLeft w:val="432"/>
          <w:marRight w:val="0"/>
          <w:marTop w:val="360"/>
          <w:marBottom w:val="0"/>
          <w:divBdr>
            <w:top w:val="none" w:sz="0" w:space="0" w:color="auto"/>
            <w:left w:val="none" w:sz="0" w:space="0" w:color="auto"/>
            <w:bottom w:val="none" w:sz="0" w:space="0" w:color="auto"/>
            <w:right w:val="none" w:sz="0" w:space="0" w:color="auto"/>
          </w:divBdr>
        </w:div>
        <w:div w:id="506403017">
          <w:marLeft w:val="432"/>
          <w:marRight w:val="0"/>
          <w:marTop w:val="360"/>
          <w:marBottom w:val="0"/>
          <w:divBdr>
            <w:top w:val="none" w:sz="0" w:space="0" w:color="auto"/>
            <w:left w:val="none" w:sz="0" w:space="0" w:color="auto"/>
            <w:bottom w:val="none" w:sz="0" w:space="0" w:color="auto"/>
            <w:right w:val="none" w:sz="0" w:space="0" w:color="auto"/>
          </w:divBdr>
        </w:div>
        <w:div w:id="1808551819">
          <w:marLeft w:val="432"/>
          <w:marRight w:val="0"/>
          <w:marTop w:val="360"/>
          <w:marBottom w:val="0"/>
          <w:divBdr>
            <w:top w:val="none" w:sz="0" w:space="0" w:color="auto"/>
            <w:left w:val="none" w:sz="0" w:space="0" w:color="auto"/>
            <w:bottom w:val="none" w:sz="0" w:space="0" w:color="auto"/>
            <w:right w:val="none" w:sz="0" w:space="0" w:color="auto"/>
          </w:divBdr>
        </w:div>
        <w:div w:id="292058278">
          <w:marLeft w:val="432"/>
          <w:marRight w:val="0"/>
          <w:marTop w:val="360"/>
          <w:marBottom w:val="0"/>
          <w:divBdr>
            <w:top w:val="none" w:sz="0" w:space="0" w:color="auto"/>
            <w:left w:val="none" w:sz="0" w:space="0" w:color="auto"/>
            <w:bottom w:val="none" w:sz="0" w:space="0" w:color="auto"/>
            <w:right w:val="none" w:sz="0" w:space="0" w:color="auto"/>
          </w:divBdr>
        </w:div>
        <w:div w:id="1046022940">
          <w:marLeft w:val="432"/>
          <w:marRight w:val="0"/>
          <w:marTop w:val="360"/>
          <w:marBottom w:val="0"/>
          <w:divBdr>
            <w:top w:val="none" w:sz="0" w:space="0" w:color="auto"/>
            <w:left w:val="none" w:sz="0" w:space="0" w:color="auto"/>
            <w:bottom w:val="none" w:sz="0" w:space="0" w:color="auto"/>
            <w:right w:val="none" w:sz="0" w:space="0" w:color="auto"/>
          </w:divBdr>
        </w:div>
      </w:divsChild>
    </w:div>
    <w:div w:id="737291239">
      <w:bodyDiv w:val="1"/>
      <w:marLeft w:val="0"/>
      <w:marRight w:val="0"/>
      <w:marTop w:val="0"/>
      <w:marBottom w:val="0"/>
      <w:divBdr>
        <w:top w:val="none" w:sz="0" w:space="0" w:color="auto"/>
        <w:left w:val="none" w:sz="0" w:space="0" w:color="auto"/>
        <w:bottom w:val="none" w:sz="0" w:space="0" w:color="auto"/>
        <w:right w:val="none" w:sz="0" w:space="0" w:color="auto"/>
      </w:divBdr>
    </w:div>
    <w:div w:id="769277081">
      <w:bodyDiv w:val="1"/>
      <w:marLeft w:val="0"/>
      <w:marRight w:val="0"/>
      <w:marTop w:val="0"/>
      <w:marBottom w:val="0"/>
      <w:divBdr>
        <w:top w:val="none" w:sz="0" w:space="0" w:color="auto"/>
        <w:left w:val="none" w:sz="0" w:space="0" w:color="auto"/>
        <w:bottom w:val="none" w:sz="0" w:space="0" w:color="auto"/>
        <w:right w:val="none" w:sz="0" w:space="0" w:color="auto"/>
      </w:divBdr>
    </w:div>
    <w:div w:id="827092409">
      <w:bodyDiv w:val="1"/>
      <w:marLeft w:val="0"/>
      <w:marRight w:val="0"/>
      <w:marTop w:val="0"/>
      <w:marBottom w:val="0"/>
      <w:divBdr>
        <w:top w:val="none" w:sz="0" w:space="0" w:color="auto"/>
        <w:left w:val="none" w:sz="0" w:space="0" w:color="auto"/>
        <w:bottom w:val="none" w:sz="0" w:space="0" w:color="auto"/>
        <w:right w:val="none" w:sz="0" w:space="0" w:color="auto"/>
      </w:divBdr>
    </w:div>
    <w:div w:id="828981158">
      <w:bodyDiv w:val="1"/>
      <w:marLeft w:val="0"/>
      <w:marRight w:val="0"/>
      <w:marTop w:val="0"/>
      <w:marBottom w:val="0"/>
      <w:divBdr>
        <w:top w:val="none" w:sz="0" w:space="0" w:color="auto"/>
        <w:left w:val="none" w:sz="0" w:space="0" w:color="auto"/>
        <w:bottom w:val="none" w:sz="0" w:space="0" w:color="auto"/>
        <w:right w:val="none" w:sz="0" w:space="0" w:color="auto"/>
      </w:divBdr>
    </w:div>
    <w:div w:id="1017661893">
      <w:bodyDiv w:val="1"/>
      <w:marLeft w:val="0"/>
      <w:marRight w:val="0"/>
      <w:marTop w:val="0"/>
      <w:marBottom w:val="0"/>
      <w:divBdr>
        <w:top w:val="none" w:sz="0" w:space="0" w:color="auto"/>
        <w:left w:val="none" w:sz="0" w:space="0" w:color="auto"/>
        <w:bottom w:val="none" w:sz="0" w:space="0" w:color="auto"/>
        <w:right w:val="none" w:sz="0" w:space="0" w:color="auto"/>
      </w:divBdr>
    </w:div>
    <w:div w:id="1087307933">
      <w:bodyDiv w:val="1"/>
      <w:marLeft w:val="0"/>
      <w:marRight w:val="0"/>
      <w:marTop w:val="0"/>
      <w:marBottom w:val="0"/>
      <w:divBdr>
        <w:top w:val="none" w:sz="0" w:space="0" w:color="auto"/>
        <w:left w:val="none" w:sz="0" w:space="0" w:color="auto"/>
        <w:bottom w:val="none" w:sz="0" w:space="0" w:color="auto"/>
        <w:right w:val="none" w:sz="0" w:space="0" w:color="auto"/>
      </w:divBdr>
      <w:divsChild>
        <w:div w:id="561598874">
          <w:marLeft w:val="274"/>
          <w:marRight w:val="0"/>
          <w:marTop w:val="0"/>
          <w:marBottom w:val="0"/>
          <w:divBdr>
            <w:top w:val="none" w:sz="0" w:space="0" w:color="auto"/>
            <w:left w:val="none" w:sz="0" w:space="0" w:color="auto"/>
            <w:bottom w:val="none" w:sz="0" w:space="0" w:color="auto"/>
            <w:right w:val="none" w:sz="0" w:space="0" w:color="auto"/>
          </w:divBdr>
        </w:div>
        <w:div w:id="1713339440">
          <w:marLeft w:val="274"/>
          <w:marRight w:val="0"/>
          <w:marTop w:val="0"/>
          <w:marBottom w:val="0"/>
          <w:divBdr>
            <w:top w:val="none" w:sz="0" w:space="0" w:color="auto"/>
            <w:left w:val="none" w:sz="0" w:space="0" w:color="auto"/>
            <w:bottom w:val="none" w:sz="0" w:space="0" w:color="auto"/>
            <w:right w:val="none" w:sz="0" w:space="0" w:color="auto"/>
          </w:divBdr>
        </w:div>
        <w:div w:id="513958418">
          <w:marLeft w:val="274"/>
          <w:marRight w:val="0"/>
          <w:marTop w:val="0"/>
          <w:marBottom w:val="0"/>
          <w:divBdr>
            <w:top w:val="none" w:sz="0" w:space="0" w:color="auto"/>
            <w:left w:val="none" w:sz="0" w:space="0" w:color="auto"/>
            <w:bottom w:val="none" w:sz="0" w:space="0" w:color="auto"/>
            <w:right w:val="none" w:sz="0" w:space="0" w:color="auto"/>
          </w:divBdr>
        </w:div>
        <w:div w:id="1166171388">
          <w:marLeft w:val="274"/>
          <w:marRight w:val="0"/>
          <w:marTop w:val="0"/>
          <w:marBottom w:val="0"/>
          <w:divBdr>
            <w:top w:val="none" w:sz="0" w:space="0" w:color="auto"/>
            <w:left w:val="none" w:sz="0" w:space="0" w:color="auto"/>
            <w:bottom w:val="none" w:sz="0" w:space="0" w:color="auto"/>
            <w:right w:val="none" w:sz="0" w:space="0" w:color="auto"/>
          </w:divBdr>
        </w:div>
      </w:divsChild>
    </w:div>
    <w:div w:id="1120412982">
      <w:bodyDiv w:val="1"/>
      <w:marLeft w:val="0"/>
      <w:marRight w:val="0"/>
      <w:marTop w:val="0"/>
      <w:marBottom w:val="0"/>
      <w:divBdr>
        <w:top w:val="none" w:sz="0" w:space="0" w:color="auto"/>
        <w:left w:val="none" w:sz="0" w:space="0" w:color="auto"/>
        <w:bottom w:val="none" w:sz="0" w:space="0" w:color="auto"/>
        <w:right w:val="none" w:sz="0" w:space="0" w:color="auto"/>
      </w:divBdr>
    </w:div>
    <w:div w:id="1158693615">
      <w:bodyDiv w:val="1"/>
      <w:marLeft w:val="0"/>
      <w:marRight w:val="0"/>
      <w:marTop w:val="0"/>
      <w:marBottom w:val="0"/>
      <w:divBdr>
        <w:top w:val="none" w:sz="0" w:space="0" w:color="auto"/>
        <w:left w:val="none" w:sz="0" w:space="0" w:color="auto"/>
        <w:bottom w:val="none" w:sz="0" w:space="0" w:color="auto"/>
        <w:right w:val="none" w:sz="0" w:space="0" w:color="auto"/>
      </w:divBdr>
    </w:div>
    <w:div w:id="1159495573">
      <w:bodyDiv w:val="1"/>
      <w:marLeft w:val="0"/>
      <w:marRight w:val="0"/>
      <w:marTop w:val="0"/>
      <w:marBottom w:val="0"/>
      <w:divBdr>
        <w:top w:val="none" w:sz="0" w:space="0" w:color="auto"/>
        <w:left w:val="none" w:sz="0" w:space="0" w:color="auto"/>
        <w:bottom w:val="none" w:sz="0" w:space="0" w:color="auto"/>
        <w:right w:val="none" w:sz="0" w:space="0" w:color="auto"/>
      </w:divBdr>
      <w:divsChild>
        <w:div w:id="1239941490">
          <w:marLeft w:val="274"/>
          <w:marRight w:val="0"/>
          <w:marTop w:val="0"/>
          <w:marBottom w:val="0"/>
          <w:divBdr>
            <w:top w:val="none" w:sz="0" w:space="0" w:color="auto"/>
            <w:left w:val="none" w:sz="0" w:space="0" w:color="auto"/>
            <w:bottom w:val="none" w:sz="0" w:space="0" w:color="auto"/>
            <w:right w:val="none" w:sz="0" w:space="0" w:color="auto"/>
          </w:divBdr>
        </w:div>
        <w:div w:id="1763259194">
          <w:marLeft w:val="274"/>
          <w:marRight w:val="0"/>
          <w:marTop w:val="0"/>
          <w:marBottom w:val="0"/>
          <w:divBdr>
            <w:top w:val="none" w:sz="0" w:space="0" w:color="auto"/>
            <w:left w:val="none" w:sz="0" w:space="0" w:color="auto"/>
            <w:bottom w:val="none" w:sz="0" w:space="0" w:color="auto"/>
            <w:right w:val="none" w:sz="0" w:space="0" w:color="auto"/>
          </w:divBdr>
        </w:div>
      </w:divsChild>
    </w:div>
    <w:div w:id="1185828850">
      <w:bodyDiv w:val="1"/>
      <w:marLeft w:val="0"/>
      <w:marRight w:val="0"/>
      <w:marTop w:val="0"/>
      <w:marBottom w:val="0"/>
      <w:divBdr>
        <w:top w:val="none" w:sz="0" w:space="0" w:color="auto"/>
        <w:left w:val="none" w:sz="0" w:space="0" w:color="auto"/>
        <w:bottom w:val="none" w:sz="0" w:space="0" w:color="auto"/>
        <w:right w:val="none" w:sz="0" w:space="0" w:color="auto"/>
      </w:divBdr>
    </w:div>
    <w:div w:id="1209219092">
      <w:bodyDiv w:val="1"/>
      <w:marLeft w:val="0"/>
      <w:marRight w:val="0"/>
      <w:marTop w:val="0"/>
      <w:marBottom w:val="0"/>
      <w:divBdr>
        <w:top w:val="none" w:sz="0" w:space="0" w:color="auto"/>
        <w:left w:val="none" w:sz="0" w:space="0" w:color="auto"/>
        <w:bottom w:val="none" w:sz="0" w:space="0" w:color="auto"/>
        <w:right w:val="none" w:sz="0" w:space="0" w:color="auto"/>
      </w:divBdr>
    </w:div>
    <w:div w:id="1254555718">
      <w:bodyDiv w:val="1"/>
      <w:marLeft w:val="0"/>
      <w:marRight w:val="0"/>
      <w:marTop w:val="0"/>
      <w:marBottom w:val="0"/>
      <w:divBdr>
        <w:top w:val="none" w:sz="0" w:space="0" w:color="auto"/>
        <w:left w:val="none" w:sz="0" w:space="0" w:color="auto"/>
        <w:bottom w:val="none" w:sz="0" w:space="0" w:color="auto"/>
        <w:right w:val="none" w:sz="0" w:space="0" w:color="auto"/>
      </w:divBdr>
    </w:div>
    <w:div w:id="1269196645">
      <w:bodyDiv w:val="1"/>
      <w:marLeft w:val="0"/>
      <w:marRight w:val="0"/>
      <w:marTop w:val="0"/>
      <w:marBottom w:val="0"/>
      <w:divBdr>
        <w:top w:val="none" w:sz="0" w:space="0" w:color="auto"/>
        <w:left w:val="none" w:sz="0" w:space="0" w:color="auto"/>
        <w:bottom w:val="none" w:sz="0" w:space="0" w:color="auto"/>
        <w:right w:val="none" w:sz="0" w:space="0" w:color="auto"/>
      </w:divBdr>
    </w:div>
    <w:div w:id="1466582043">
      <w:bodyDiv w:val="1"/>
      <w:marLeft w:val="0"/>
      <w:marRight w:val="0"/>
      <w:marTop w:val="0"/>
      <w:marBottom w:val="0"/>
      <w:divBdr>
        <w:top w:val="none" w:sz="0" w:space="0" w:color="auto"/>
        <w:left w:val="none" w:sz="0" w:space="0" w:color="auto"/>
        <w:bottom w:val="none" w:sz="0" w:space="0" w:color="auto"/>
        <w:right w:val="none" w:sz="0" w:space="0" w:color="auto"/>
      </w:divBdr>
    </w:div>
    <w:div w:id="1665742905">
      <w:bodyDiv w:val="1"/>
      <w:marLeft w:val="0"/>
      <w:marRight w:val="0"/>
      <w:marTop w:val="0"/>
      <w:marBottom w:val="0"/>
      <w:divBdr>
        <w:top w:val="none" w:sz="0" w:space="0" w:color="auto"/>
        <w:left w:val="none" w:sz="0" w:space="0" w:color="auto"/>
        <w:bottom w:val="none" w:sz="0" w:space="0" w:color="auto"/>
        <w:right w:val="none" w:sz="0" w:space="0" w:color="auto"/>
      </w:divBdr>
    </w:div>
    <w:div w:id="1741753244">
      <w:bodyDiv w:val="1"/>
      <w:marLeft w:val="0"/>
      <w:marRight w:val="0"/>
      <w:marTop w:val="0"/>
      <w:marBottom w:val="0"/>
      <w:divBdr>
        <w:top w:val="none" w:sz="0" w:space="0" w:color="auto"/>
        <w:left w:val="none" w:sz="0" w:space="0" w:color="auto"/>
        <w:bottom w:val="none" w:sz="0" w:space="0" w:color="auto"/>
        <w:right w:val="none" w:sz="0" w:space="0" w:color="auto"/>
      </w:divBdr>
    </w:div>
    <w:div w:id="1776246030">
      <w:bodyDiv w:val="1"/>
      <w:marLeft w:val="0"/>
      <w:marRight w:val="0"/>
      <w:marTop w:val="0"/>
      <w:marBottom w:val="0"/>
      <w:divBdr>
        <w:top w:val="none" w:sz="0" w:space="0" w:color="auto"/>
        <w:left w:val="none" w:sz="0" w:space="0" w:color="auto"/>
        <w:bottom w:val="none" w:sz="0" w:space="0" w:color="auto"/>
        <w:right w:val="none" w:sz="0" w:space="0" w:color="auto"/>
      </w:divBdr>
    </w:div>
    <w:div w:id="1779987878">
      <w:bodyDiv w:val="1"/>
      <w:marLeft w:val="0"/>
      <w:marRight w:val="0"/>
      <w:marTop w:val="0"/>
      <w:marBottom w:val="0"/>
      <w:divBdr>
        <w:top w:val="none" w:sz="0" w:space="0" w:color="auto"/>
        <w:left w:val="none" w:sz="0" w:space="0" w:color="auto"/>
        <w:bottom w:val="none" w:sz="0" w:space="0" w:color="auto"/>
        <w:right w:val="none" w:sz="0" w:space="0" w:color="auto"/>
      </w:divBdr>
    </w:div>
    <w:div w:id="1844281093">
      <w:bodyDiv w:val="1"/>
      <w:marLeft w:val="0"/>
      <w:marRight w:val="0"/>
      <w:marTop w:val="0"/>
      <w:marBottom w:val="0"/>
      <w:divBdr>
        <w:top w:val="none" w:sz="0" w:space="0" w:color="auto"/>
        <w:left w:val="none" w:sz="0" w:space="0" w:color="auto"/>
        <w:bottom w:val="none" w:sz="0" w:space="0" w:color="auto"/>
        <w:right w:val="none" w:sz="0" w:space="0" w:color="auto"/>
      </w:divBdr>
    </w:div>
    <w:div w:id="2001469464">
      <w:bodyDiv w:val="1"/>
      <w:marLeft w:val="0"/>
      <w:marRight w:val="0"/>
      <w:marTop w:val="0"/>
      <w:marBottom w:val="0"/>
      <w:divBdr>
        <w:top w:val="none" w:sz="0" w:space="0" w:color="auto"/>
        <w:left w:val="none" w:sz="0" w:space="0" w:color="auto"/>
        <w:bottom w:val="none" w:sz="0" w:space="0" w:color="auto"/>
        <w:right w:val="none" w:sz="0" w:space="0" w:color="auto"/>
      </w:divBdr>
      <w:divsChild>
        <w:div w:id="1466510618">
          <w:marLeft w:val="432"/>
          <w:marRight w:val="0"/>
          <w:marTop w:val="360"/>
          <w:marBottom w:val="0"/>
          <w:divBdr>
            <w:top w:val="none" w:sz="0" w:space="0" w:color="auto"/>
            <w:left w:val="none" w:sz="0" w:space="0" w:color="auto"/>
            <w:bottom w:val="none" w:sz="0" w:space="0" w:color="auto"/>
            <w:right w:val="none" w:sz="0" w:space="0" w:color="auto"/>
          </w:divBdr>
        </w:div>
        <w:div w:id="697778587">
          <w:marLeft w:val="432"/>
          <w:marRight w:val="0"/>
          <w:marTop w:val="360"/>
          <w:marBottom w:val="0"/>
          <w:divBdr>
            <w:top w:val="none" w:sz="0" w:space="0" w:color="auto"/>
            <w:left w:val="none" w:sz="0" w:space="0" w:color="auto"/>
            <w:bottom w:val="none" w:sz="0" w:space="0" w:color="auto"/>
            <w:right w:val="none" w:sz="0" w:space="0" w:color="auto"/>
          </w:divBdr>
        </w:div>
        <w:div w:id="1151603983">
          <w:marLeft w:val="432"/>
          <w:marRight w:val="0"/>
          <w:marTop w:val="360"/>
          <w:marBottom w:val="0"/>
          <w:divBdr>
            <w:top w:val="none" w:sz="0" w:space="0" w:color="auto"/>
            <w:left w:val="none" w:sz="0" w:space="0" w:color="auto"/>
            <w:bottom w:val="none" w:sz="0" w:space="0" w:color="auto"/>
            <w:right w:val="none" w:sz="0" w:space="0" w:color="auto"/>
          </w:divBdr>
        </w:div>
        <w:div w:id="542601762">
          <w:marLeft w:val="432"/>
          <w:marRight w:val="0"/>
          <w:marTop w:val="360"/>
          <w:marBottom w:val="0"/>
          <w:divBdr>
            <w:top w:val="none" w:sz="0" w:space="0" w:color="auto"/>
            <w:left w:val="none" w:sz="0" w:space="0" w:color="auto"/>
            <w:bottom w:val="none" w:sz="0" w:space="0" w:color="auto"/>
            <w:right w:val="none" w:sz="0" w:space="0" w:color="auto"/>
          </w:divBdr>
        </w:div>
        <w:div w:id="1771513002">
          <w:marLeft w:val="432"/>
          <w:marRight w:val="0"/>
          <w:marTop w:val="360"/>
          <w:marBottom w:val="0"/>
          <w:divBdr>
            <w:top w:val="none" w:sz="0" w:space="0" w:color="auto"/>
            <w:left w:val="none" w:sz="0" w:space="0" w:color="auto"/>
            <w:bottom w:val="none" w:sz="0" w:space="0" w:color="auto"/>
            <w:right w:val="none" w:sz="0" w:space="0" w:color="auto"/>
          </w:divBdr>
        </w:div>
        <w:div w:id="515507013">
          <w:marLeft w:val="432"/>
          <w:marRight w:val="0"/>
          <w:marTop w:val="360"/>
          <w:marBottom w:val="0"/>
          <w:divBdr>
            <w:top w:val="none" w:sz="0" w:space="0" w:color="auto"/>
            <w:left w:val="none" w:sz="0" w:space="0" w:color="auto"/>
            <w:bottom w:val="none" w:sz="0" w:space="0" w:color="auto"/>
            <w:right w:val="none" w:sz="0" w:space="0" w:color="auto"/>
          </w:divBdr>
        </w:div>
      </w:divsChild>
    </w:div>
    <w:div w:id="2055302808">
      <w:bodyDiv w:val="1"/>
      <w:marLeft w:val="0"/>
      <w:marRight w:val="0"/>
      <w:marTop w:val="0"/>
      <w:marBottom w:val="0"/>
      <w:divBdr>
        <w:top w:val="none" w:sz="0" w:space="0" w:color="auto"/>
        <w:left w:val="none" w:sz="0" w:space="0" w:color="auto"/>
        <w:bottom w:val="none" w:sz="0" w:space="0" w:color="auto"/>
        <w:right w:val="none" w:sz="0" w:space="0" w:color="auto"/>
      </w:divBdr>
    </w:div>
    <w:div w:id="2080976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h1bskillstraining.workforcegps.org/resources/2017/06/06/14/32/Amended_ETA-9712_DOL_PIRL_for_H-1B_Grant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6</Pages>
  <Words>1957</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Casertano</dc:creator>
  <cp:keywords/>
  <dc:description/>
  <cp:lastModifiedBy>Laura Casertano</cp:lastModifiedBy>
  <cp:revision>1</cp:revision>
  <dcterms:created xsi:type="dcterms:W3CDTF">2019-07-26T16:19:00Z</dcterms:created>
  <dcterms:modified xsi:type="dcterms:W3CDTF">2019-07-26T16:37:00Z</dcterms:modified>
</cp:coreProperties>
</file>