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86072" w14:textId="4F6AEAED" w:rsidR="001165BB" w:rsidRDefault="001165BB" w:rsidP="001165BB">
      <w:pPr>
        <w:jc w:val="center"/>
        <w:rPr>
          <w:b/>
          <w:bCs/>
        </w:rPr>
      </w:pPr>
      <w:r>
        <w:rPr>
          <w:b/>
          <w:bCs/>
        </w:rPr>
        <w:t>DWG PPT Script</w:t>
      </w:r>
    </w:p>
    <w:p w14:paraId="29030010" w14:textId="013D93B6" w:rsidR="005F0E60" w:rsidRPr="005F0E60" w:rsidRDefault="005F0E60">
      <w:pPr>
        <w:rPr>
          <w:b/>
          <w:bCs/>
        </w:rPr>
      </w:pPr>
      <w:r>
        <w:rPr>
          <w:b/>
          <w:bCs/>
        </w:rPr>
        <w:t>Slide 1</w:t>
      </w:r>
    </w:p>
    <w:p w14:paraId="166F1A72" w14:textId="6580D666" w:rsidR="00DF71D1" w:rsidRDefault="00B82259">
      <w:r>
        <w:t>Hello and welcome to the Office of Trade Adjustment Assistance’s webinar on Dislocated Worker Grants! My name is Jesse Johnson and I will be providing you with a short summary as we discuss Dislocated Worker Grants’ origin, its applications, and the services provided</w:t>
      </w:r>
      <w:r w:rsidR="00975763">
        <w:t xml:space="preserve">. </w:t>
      </w:r>
      <w:r w:rsidR="00A24EA5">
        <w:t xml:space="preserve">Further, </w:t>
      </w:r>
      <w:r w:rsidR="00975763">
        <w:t xml:space="preserve">I will also be discussing </w:t>
      </w:r>
      <w:r w:rsidR="00A24EA5">
        <w:t>these Grants</w:t>
      </w:r>
      <w:r w:rsidR="005F0E60">
        <w:t xml:space="preserve"> as they relate to the Trade Adjustment Assistance Program</w:t>
      </w:r>
      <w:r w:rsidR="00975763">
        <w:t xml:space="preserve"> only.</w:t>
      </w:r>
    </w:p>
    <w:p w14:paraId="748101CF" w14:textId="77777777" w:rsidR="00D46088" w:rsidRDefault="00D46088"/>
    <w:p w14:paraId="09C2D804" w14:textId="609004F6" w:rsidR="005F0E60" w:rsidRDefault="005F0E60">
      <w:pPr>
        <w:rPr>
          <w:b/>
          <w:bCs/>
        </w:rPr>
      </w:pPr>
      <w:r>
        <w:rPr>
          <w:b/>
          <w:bCs/>
        </w:rPr>
        <w:t>Slide 2</w:t>
      </w:r>
    </w:p>
    <w:p w14:paraId="101B2B22" w14:textId="48D2B551" w:rsidR="005F0E60" w:rsidRDefault="00D82763">
      <w:r>
        <w:t>So what are Dislocated Worker Grants, or DWGs for short? Quite simply, they’re discretionary grants awarded by the Secretary of Labor, under Section 170 of the Workforce Innovation and Opportunity Act, or WIOA</w:t>
      </w:r>
      <w:r w:rsidR="009B044E">
        <w:t>,</w:t>
      </w:r>
      <w:r w:rsidR="00B43D84">
        <w:t xml:space="preserve"> and provide resources to states and other eligible applicants in response to events that result in significant job losses. This funding is intended to expand capacity to serve these affected workers and meet the increased demand for employment and training services provided under WIOA, with a purpose to reemploy laid off workers and enhance their employability and earnings. </w:t>
      </w:r>
    </w:p>
    <w:p w14:paraId="54C17F52" w14:textId="672B5CFC" w:rsidR="00704743" w:rsidRDefault="00704743">
      <w:r>
        <w:t xml:space="preserve">When WIOA established DWGs to supersede National Emergency Grants, it provided some significant changes to the program, </w:t>
      </w:r>
    </w:p>
    <w:p w14:paraId="04C18A0A" w14:textId="5CB8DC16" w:rsidR="00704743" w:rsidRPr="00704743" w:rsidRDefault="00704743" w:rsidP="00704743">
      <w:pPr>
        <w:numPr>
          <w:ilvl w:val="0"/>
          <w:numId w:val="1"/>
        </w:numPr>
        <w:shd w:val="clear" w:color="auto" w:fill="FFFFFF"/>
        <w:spacing w:after="60" w:line="390" w:lineRule="atLeast"/>
        <w:ind w:left="1008"/>
        <w:textAlignment w:val="top"/>
        <w:rPr>
          <w:rFonts w:eastAsia="Times New Roman" w:cstheme="minorHAnsi"/>
          <w:color w:val="212121"/>
        </w:rPr>
      </w:pPr>
      <w:r w:rsidRPr="00704743">
        <w:rPr>
          <w:rFonts w:cstheme="minorHAnsi"/>
          <w:color w:val="212121"/>
          <w:shd w:val="clear" w:color="auto" w:fill="FFFFFF"/>
        </w:rPr>
        <w:t>Authorized DWGs to provide assistance to areas with a higher than average</w:t>
      </w:r>
      <w:r w:rsidRPr="00704743">
        <w:rPr>
          <w:rFonts w:eastAsia="Times New Roman" w:cstheme="minorHAnsi"/>
          <w:color w:val="212121"/>
        </w:rPr>
        <w:t xml:space="preserve"> demand for employment and training services from dislocated members of the Armed Forces and military spouses.</w:t>
      </w:r>
    </w:p>
    <w:p w14:paraId="0FD95304" w14:textId="1EC76D7B" w:rsidR="00704743" w:rsidRPr="00704743" w:rsidRDefault="00704743" w:rsidP="00704743">
      <w:pPr>
        <w:numPr>
          <w:ilvl w:val="0"/>
          <w:numId w:val="1"/>
        </w:numPr>
        <w:shd w:val="clear" w:color="auto" w:fill="FFFFFF"/>
        <w:spacing w:after="60" w:line="390" w:lineRule="atLeast"/>
        <w:ind w:left="1008"/>
        <w:textAlignment w:val="top"/>
        <w:rPr>
          <w:rFonts w:eastAsia="Times New Roman" w:cstheme="minorHAnsi"/>
          <w:color w:val="212121"/>
        </w:rPr>
      </w:pPr>
      <w:r w:rsidRPr="00704743">
        <w:rPr>
          <w:rFonts w:eastAsia="Times New Roman" w:cstheme="minorHAnsi"/>
          <w:color w:val="212121"/>
        </w:rPr>
        <w:t>Allow</w:t>
      </w:r>
      <w:r>
        <w:rPr>
          <w:rFonts w:eastAsia="Times New Roman" w:cstheme="minorHAnsi"/>
          <w:color w:val="212121"/>
        </w:rPr>
        <w:t>ed</w:t>
      </w:r>
      <w:r w:rsidRPr="00704743">
        <w:rPr>
          <w:rFonts w:eastAsia="Times New Roman" w:cstheme="minorHAnsi"/>
          <w:color w:val="212121"/>
        </w:rPr>
        <w:t xml:space="preserve"> federal agency emergency or disaster declaration, in addition to those made by the Federal Emergency Management Agency, to trigger an opportunity for eligible entities to apply for assistance. The newly eligible situations must fit the definition of emergency or disaster situations for national significance that could result in a potentially large loss of employment, as declared or otherwise recognized by the chief official of a federal agency with authority for the federal response to the emergency.</w:t>
      </w:r>
    </w:p>
    <w:p w14:paraId="1F526878" w14:textId="2A5AFCD5" w:rsidR="00704743" w:rsidRPr="00704743" w:rsidRDefault="00704743" w:rsidP="00704743">
      <w:pPr>
        <w:numPr>
          <w:ilvl w:val="0"/>
          <w:numId w:val="1"/>
        </w:numPr>
        <w:shd w:val="clear" w:color="auto" w:fill="FFFFFF"/>
        <w:spacing w:after="60" w:line="390" w:lineRule="atLeast"/>
        <w:ind w:left="1008"/>
        <w:textAlignment w:val="top"/>
        <w:rPr>
          <w:rFonts w:eastAsia="Times New Roman" w:cstheme="minorHAnsi"/>
          <w:color w:val="212121"/>
        </w:rPr>
      </w:pPr>
      <w:r w:rsidRPr="00704743">
        <w:rPr>
          <w:rFonts w:eastAsia="Times New Roman" w:cstheme="minorHAnsi"/>
          <w:color w:val="212121"/>
        </w:rPr>
        <w:t>Allow</w:t>
      </w:r>
      <w:r>
        <w:rPr>
          <w:rFonts w:eastAsia="Times New Roman" w:cstheme="minorHAnsi"/>
          <w:color w:val="212121"/>
        </w:rPr>
        <w:t>ed</w:t>
      </w:r>
      <w:r w:rsidRPr="00704743">
        <w:rPr>
          <w:rFonts w:eastAsia="Times New Roman" w:cstheme="minorHAnsi"/>
          <w:color w:val="212121"/>
        </w:rPr>
        <w:t xml:space="preserve"> circumstances where substantial number of individuals from a disaster area relocate to another area to trigger an opportunity for eligible entities in the relocation area to apply for assistance.</w:t>
      </w:r>
    </w:p>
    <w:p w14:paraId="377E76EC" w14:textId="352C839C" w:rsidR="00704743" w:rsidRPr="00704743" w:rsidRDefault="00704743" w:rsidP="00704743">
      <w:pPr>
        <w:numPr>
          <w:ilvl w:val="0"/>
          <w:numId w:val="1"/>
        </w:numPr>
        <w:shd w:val="clear" w:color="auto" w:fill="FFFFFF"/>
        <w:spacing w:after="60" w:line="390" w:lineRule="atLeast"/>
        <w:ind w:left="1008"/>
        <w:textAlignment w:val="top"/>
        <w:rPr>
          <w:rFonts w:eastAsia="Times New Roman" w:cstheme="minorHAnsi"/>
          <w:color w:val="212121"/>
        </w:rPr>
      </w:pPr>
      <w:r w:rsidRPr="00704743">
        <w:rPr>
          <w:rFonts w:eastAsia="Times New Roman" w:cstheme="minorHAnsi"/>
          <w:color w:val="212121"/>
        </w:rPr>
        <w:t>Affirm</w:t>
      </w:r>
      <w:r>
        <w:rPr>
          <w:rFonts w:eastAsia="Times New Roman" w:cstheme="minorHAnsi"/>
          <w:color w:val="212121"/>
        </w:rPr>
        <w:t>ed</w:t>
      </w:r>
      <w:r w:rsidRPr="00704743">
        <w:rPr>
          <w:rFonts w:eastAsia="Times New Roman" w:cstheme="minorHAnsi"/>
          <w:color w:val="212121"/>
        </w:rPr>
        <w:t xml:space="preserve"> eligibility for the grant program for self-employed individuals who become unemployed or significantly underemployed as a result of the emergency or disaster.</w:t>
      </w:r>
    </w:p>
    <w:p w14:paraId="09A4FF79" w14:textId="40B546CF" w:rsidR="00704743" w:rsidRPr="00704743" w:rsidRDefault="00704743" w:rsidP="00704743">
      <w:pPr>
        <w:numPr>
          <w:ilvl w:val="0"/>
          <w:numId w:val="1"/>
        </w:numPr>
        <w:shd w:val="clear" w:color="auto" w:fill="FFFFFF"/>
        <w:spacing w:after="0" w:line="390" w:lineRule="atLeast"/>
        <w:ind w:left="1008"/>
        <w:textAlignment w:val="top"/>
        <w:rPr>
          <w:rFonts w:eastAsia="Times New Roman" w:cstheme="minorHAnsi"/>
          <w:color w:val="212121"/>
        </w:rPr>
      </w:pPr>
      <w:r w:rsidRPr="00704743">
        <w:rPr>
          <w:rFonts w:eastAsia="Times New Roman" w:cstheme="minorHAnsi"/>
          <w:color w:val="212121"/>
        </w:rPr>
        <w:t>Increase</w:t>
      </w:r>
      <w:r>
        <w:rPr>
          <w:rFonts w:eastAsia="Times New Roman" w:cstheme="minorHAnsi"/>
          <w:color w:val="212121"/>
        </w:rPr>
        <w:t>d</w:t>
      </w:r>
      <w:r w:rsidRPr="00704743">
        <w:rPr>
          <w:rFonts w:eastAsia="Times New Roman" w:cstheme="minorHAnsi"/>
          <w:color w:val="212121"/>
        </w:rPr>
        <w:t xml:space="preserve"> the temporary employment duration from six months to 12 months</w:t>
      </w:r>
      <w:r w:rsidR="007C1B79">
        <w:rPr>
          <w:rFonts w:eastAsia="Times New Roman" w:cstheme="minorHAnsi"/>
          <w:color w:val="212121"/>
        </w:rPr>
        <w:t xml:space="preserve"> with discretion given to the</w:t>
      </w:r>
      <w:r w:rsidRPr="00704743">
        <w:rPr>
          <w:rFonts w:eastAsia="Times New Roman" w:cstheme="minorHAnsi"/>
          <w:color w:val="212121"/>
        </w:rPr>
        <w:t xml:space="preserve"> Secretary of Labor </w:t>
      </w:r>
      <w:r w:rsidR="007C1B79">
        <w:rPr>
          <w:rFonts w:eastAsia="Times New Roman" w:cstheme="minorHAnsi"/>
          <w:color w:val="212121"/>
        </w:rPr>
        <w:t>to</w:t>
      </w:r>
      <w:r w:rsidRPr="00704743">
        <w:rPr>
          <w:rFonts w:eastAsia="Times New Roman" w:cstheme="minorHAnsi"/>
          <w:color w:val="212121"/>
        </w:rPr>
        <w:t xml:space="preserve"> extend the duration of disaster relief employment for up to an additional </w:t>
      </w:r>
      <w:r w:rsidR="007C1B79">
        <w:rPr>
          <w:rFonts w:eastAsia="Times New Roman" w:cstheme="minorHAnsi"/>
          <w:color w:val="212121"/>
        </w:rPr>
        <w:t>year</w:t>
      </w:r>
      <w:r w:rsidRPr="00704743">
        <w:rPr>
          <w:rFonts w:eastAsia="Times New Roman" w:cstheme="minorHAnsi"/>
          <w:color w:val="212121"/>
        </w:rPr>
        <w:t>.</w:t>
      </w:r>
    </w:p>
    <w:p w14:paraId="6BA869C0" w14:textId="056A5C07" w:rsidR="005F0E60" w:rsidRDefault="005F0E60"/>
    <w:p w14:paraId="0FE9D9B1" w14:textId="77777777" w:rsidR="00706563" w:rsidRDefault="00706563">
      <w:pPr>
        <w:rPr>
          <w:b/>
          <w:bCs/>
        </w:rPr>
      </w:pPr>
    </w:p>
    <w:p w14:paraId="56FE2AF6" w14:textId="77777777" w:rsidR="00706563" w:rsidRDefault="00706563">
      <w:pPr>
        <w:rPr>
          <w:b/>
          <w:bCs/>
        </w:rPr>
      </w:pPr>
    </w:p>
    <w:p w14:paraId="5C593070" w14:textId="19511779" w:rsidR="007C1B79" w:rsidRDefault="007C1B79">
      <w:pPr>
        <w:rPr>
          <w:b/>
          <w:bCs/>
        </w:rPr>
      </w:pPr>
      <w:r>
        <w:rPr>
          <w:b/>
          <w:bCs/>
        </w:rPr>
        <w:t>Slide 3</w:t>
      </w:r>
    </w:p>
    <w:p w14:paraId="4AD062DB" w14:textId="77BC652D" w:rsidR="007C1B79" w:rsidRDefault="00B22C2C">
      <w:r>
        <w:t>As discussed earlier, DWGs are used to respond to major layoffs but also must meet the characteristics of a qualifying event:</w:t>
      </w:r>
    </w:p>
    <w:p w14:paraId="27B3D155" w14:textId="0D6867CC" w:rsidR="00B22C2C" w:rsidRPr="00B22C2C" w:rsidRDefault="00B22C2C" w:rsidP="00B22C2C">
      <w:pPr>
        <w:numPr>
          <w:ilvl w:val="0"/>
          <w:numId w:val="2"/>
        </w:numPr>
        <w:shd w:val="clear" w:color="auto" w:fill="FFFFFF"/>
        <w:spacing w:after="60" w:line="390" w:lineRule="atLeast"/>
        <w:ind w:left="1008"/>
        <w:textAlignment w:val="top"/>
        <w:rPr>
          <w:rFonts w:eastAsia="Times New Roman" w:cstheme="minorHAnsi"/>
          <w:color w:val="212121"/>
        </w:rPr>
      </w:pPr>
      <w:r>
        <w:rPr>
          <w:rFonts w:eastAsia="Times New Roman" w:cstheme="minorHAnsi"/>
          <w:color w:val="212121"/>
        </w:rPr>
        <w:t>With a mass layoff or closure we are talking about layoffs</w:t>
      </w:r>
      <w:r w:rsidRPr="00B22C2C">
        <w:rPr>
          <w:rFonts w:eastAsia="Times New Roman" w:cstheme="minorHAnsi"/>
          <w:color w:val="212121"/>
        </w:rPr>
        <w:t xml:space="preserve"> at one or more companies where the dislocation from each company impacts 50 or more workers. If at least one company has a large layoff of 50 or more workers, companies with smaller layoffs may be included if the primary layoff caused or contributed to the smaller layoffs.</w:t>
      </w:r>
    </w:p>
    <w:p w14:paraId="38726C6B" w14:textId="2CCD2F40" w:rsidR="00B22C2C" w:rsidRPr="00B22C2C" w:rsidRDefault="00B22C2C" w:rsidP="00B22C2C">
      <w:pPr>
        <w:numPr>
          <w:ilvl w:val="0"/>
          <w:numId w:val="2"/>
        </w:numPr>
        <w:shd w:val="clear" w:color="auto" w:fill="FFFFFF"/>
        <w:spacing w:after="60" w:line="390" w:lineRule="atLeast"/>
        <w:ind w:left="1008"/>
        <w:textAlignment w:val="top"/>
        <w:rPr>
          <w:rFonts w:eastAsia="Times New Roman" w:cstheme="minorHAnsi"/>
          <w:color w:val="212121"/>
        </w:rPr>
      </w:pPr>
      <w:r w:rsidRPr="00B22C2C">
        <w:rPr>
          <w:rFonts w:eastAsia="Times New Roman" w:cstheme="minorHAnsi"/>
          <w:color w:val="212121"/>
        </w:rPr>
        <w:t>As with Industry-Wide Layoffs</w:t>
      </w:r>
      <w:r>
        <w:rPr>
          <w:rFonts w:eastAsia="Times New Roman" w:cstheme="minorHAnsi"/>
          <w:color w:val="212121"/>
        </w:rPr>
        <w:t>, we look at m</w:t>
      </w:r>
      <w:r w:rsidRPr="00B22C2C">
        <w:rPr>
          <w:rFonts w:eastAsia="Times New Roman" w:cstheme="minorHAnsi"/>
          <w:color w:val="212121"/>
        </w:rPr>
        <w:t>ultiple company layoffs from companies in the same industry as determined by the two-digit code level in the </w:t>
      </w:r>
      <w:hyperlink r:id="rId5" w:tgtFrame="_blank" w:history="1">
        <w:r w:rsidRPr="00B22C2C">
          <w:rPr>
            <w:rFonts w:eastAsia="Times New Roman" w:cstheme="minorHAnsi"/>
            <w:color w:val="0071BC"/>
            <w:u w:val="single"/>
          </w:rPr>
          <w:t>North American Industrial Classification System</w:t>
        </w:r>
        <w:r>
          <w:rPr>
            <w:rFonts w:eastAsia="Times New Roman" w:cstheme="minorHAnsi"/>
            <w:color w:val="0071BC"/>
            <w:u w:val="single"/>
          </w:rPr>
          <w:t xml:space="preserve"> or</w:t>
        </w:r>
      </w:hyperlink>
      <w:r>
        <w:rPr>
          <w:rFonts w:eastAsia="Times New Roman" w:cstheme="minorHAnsi"/>
          <w:color w:val="212121"/>
        </w:rPr>
        <w:t xml:space="preserve"> NAICS code</w:t>
      </w:r>
      <w:r w:rsidRPr="00B22C2C">
        <w:rPr>
          <w:rFonts w:eastAsia="Times New Roman" w:cstheme="minorHAnsi"/>
          <w:color w:val="212121"/>
        </w:rPr>
        <w:t xml:space="preserve">. Layoffs of less than 50 workers may be included in an industry-wide </w:t>
      </w:r>
      <w:r>
        <w:rPr>
          <w:rFonts w:eastAsia="Times New Roman" w:cstheme="minorHAnsi"/>
          <w:color w:val="212121"/>
        </w:rPr>
        <w:t>DWG</w:t>
      </w:r>
      <w:r w:rsidRPr="00B22C2C">
        <w:rPr>
          <w:rFonts w:eastAsia="Times New Roman" w:cstheme="minorHAnsi"/>
          <w:color w:val="212121"/>
        </w:rPr>
        <w:t xml:space="preserve"> application when at least one company of 50 or more is included in the application and the additional companies are in the same NAICS two-digit code level.</w:t>
      </w:r>
    </w:p>
    <w:p w14:paraId="18B603BD" w14:textId="66B542C1" w:rsidR="00B22C2C" w:rsidRPr="00B22C2C" w:rsidRDefault="00B22C2C" w:rsidP="00B22C2C">
      <w:pPr>
        <w:numPr>
          <w:ilvl w:val="0"/>
          <w:numId w:val="2"/>
        </w:numPr>
        <w:shd w:val="clear" w:color="auto" w:fill="FFFFFF"/>
        <w:spacing w:after="0" w:line="390" w:lineRule="atLeast"/>
        <w:ind w:left="1008"/>
        <w:textAlignment w:val="top"/>
        <w:rPr>
          <w:rFonts w:eastAsia="Times New Roman" w:cstheme="minorHAnsi"/>
          <w:color w:val="212121"/>
        </w:rPr>
      </w:pPr>
      <w:r w:rsidRPr="00B22C2C">
        <w:rPr>
          <w:rFonts w:eastAsia="Times New Roman" w:cstheme="minorHAnsi"/>
          <w:color w:val="212121"/>
        </w:rPr>
        <w:t>We also look at the Community Impact</w:t>
      </w:r>
      <w:r>
        <w:rPr>
          <w:rFonts w:eastAsia="Times New Roman" w:cstheme="minorHAnsi"/>
          <w:color w:val="212121"/>
        </w:rPr>
        <w:t>. This is when m</w:t>
      </w:r>
      <w:r w:rsidRPr="00B22C2C">
        <w:rPr>
          <w:rFonts w:eastAsia="Times New Roman" w:cstheme="minorHAnsi"/>
          <w:color w:val="212121"/>
        </w:rPr>
        <w:t xml:space="preserve">ultiple small dislocations occurring over a period of up to twelve months </w:t>
      </w:r>
      <w:r>
        <w:rPr>
          <w:rFonts w:eastAsia="Times New Roman" w:cstheme="minorHAnsi"/>
          <w:color w:val="212121"/>
        </w:rPr>
        <w:t>have si</w:t>
      </w:r>
      <w:r w:rsidRPr="00B22C2C">
        <w:rPr>
          <w:rFonts w:eastAsia="Times New Roman" w:cstheme="minorHAnsi"/>
          <w:color w:val="212121"/>
        </w:rPr>
        <w:t>gnificantly increased the total number of unemployed individuals in a designated regional or local workforce area. Community impact grants typically serve rural areas where the employer base is predominantly smaller companies with less than 50 employees each, and where layoffs may not meet the definition of "mass layoffs" above. The project must have a total of 50 impacted workers.</w:t>
      </w:r>
    </w:p>
    <w:p w14:paraId="11827998" w14:textId="49ECCF18" w:rsidR="00B22C2C" w:rsidRDefault="00B22C2C"/>
    <w:p w14:paraId="1CD1BA04" w14:textId="4AE97FBB" w:rsidR="00975763" w:rsidRDefault="00975763">
      <w:r>
        <w:t>[Read Eligible Applicants from slide]</w:t>
      </w:r>
    </w:p>
    <w:p w14:paraId="794A43F0" w14:textId="7123D3A6" w:rsidR="00975763" w:rsidRDefault="00975763">
      <w:r>
        <w:t xml:space="preserve">And </w:t>
      </w:r>
      <w:r w:rsidR="00706563">
        <w:t>of course,</w:t>
      </w:r>
      <w:r>
        <w:t xml:space="preserve"> those who are eligible for DWGs are dislocated workers. </w:t>
      </w:r>
    </w:p>
    <w:p w14:paraId="34D91862" w14:textId="07893B9A" w:rsidR="00706563" w:rsidRDefault="00706563"/>
    <w:p w14:paraId="36C027D0" w14:textId="058E3B58" w:rsidR="00706563" w:rsidRDefault="00706563">
      <w:pPr>
        <w:rPr>
          <w:b/>
          <w:bCs/>
        </w:rPr>
      </w:pPr>
      <w:r>
        <w:rPr>
          <w:b/>
          <w:bCs/>
        </w:rPr>
        <w:t>Slide 4</w:t>
      </w:r>
    </w:p>
    <w:p w14:paraId="3C876122" w14:textId="7BFC6B03" w:rsidR="00706563" w:rsidRDefault="00706563">
      <w:r>
        <w:t xml:space="preserve">As mentioned earlier, DWGs provide employment and training services that include career and supportive services. Specific details to these services can be found in TEGL 12-19 and TEGL 12-19, Change 1. </w:t>
      </w:r>
    </w:p>
    <w:p w14:paraId="1DA24CE6" w14:textId="62F612C7" w:rsidR="00706563" w:rsidRDefault="00706563">
      <w:r>
        <w:t>To apply for DWGs, eligible applicants can go to SAM.gov or Grants.gov, which is specific to DWG applicants.</w:t>
      </w:r>
    </w:p>
    <w:p w14:paraId="153B45B8" w14:textId="142F66D3" w:rsidR="00706563" w:rsidRDefault="00706563">
      <w:r>
        <w:t>For legal references</w:t>
      </w:r>
      <w:r w:rsidR="00D46088">
        <w:t>, DWGs mentions can be found in Section 170 of WIOA, in specific pages of the WIOA Final Rule, and again in TEGL 12-19, Change 1.</w:t>
      </w:r>
    </w:p>
    <w:p w14:paraId="7988739B" w14:textId="02C8020A" w:rsidR="00D46088" w:rsidRDefault="00D46088"/>
    <w:p w14:paraId="4E02EF81" w14:textId="3B73DA49" w:rsidR="00D46088" w:rsidRDefault="00D46088">
      <w:pPr>
        <w:rPr>
          <w:b/>
          <w:bCs/>
        </w:rPr>
      </w:pPr>
      <w:r>
        <w:rPr>
          <w:b/>
          <w:bCs/>
        </w:rPr>
        <w:t>Slide 5</w:t>
      </w:r>
    </w:p>
    <w:p w14:paraId="6689EE7F" w14:textId="7A04D46C" w:rsidR="00D46088" w:rsidRDefault="00D46088">
      <w:r>
        <w:t xml:space="preserve">As it relates to TAA, DWGs are to be used for dislocated worker outreach, employment and case management services, </w:t>
      </w:r>
      <w:r w:rsidR="00C02199">
        <w:t>and</w:t>
      </w:r>
      <w:r>
        <w:t xml:space="preserve"> supportive services </w:t>
      </w:r>
      <w:r w:rsidR="00B122CD">
        <w:t xml:space="preserve">normally under WIOA formula funds. And DWGs can also replace case management and employment funds for participants under Reversion 2021. </w:t>
      </w:r>
    </w:p>
    <w:p w14:paraId="29F025FF" w14:textId="2A407891" w:rsidR="005E4659" w:rsidRDefault="005E4659">
      <w:pPr>
        <w:rPr>
          <w:b/>
          <w:bCs/>
        </w:rPr>
      </w:pPr>
    </w:p>
    <w:p w14:paraId="065E1B0F" w14:textId="7A28D68B" w:rsidR="005E4659" w:rsidRDefault="005E4659">
      <w:pPr>
        <w:rPr>
          <w:b/>
          <w:bCs/>
        </w:rPr>
      </w:pPr>
      <w:r>
        <w:rPr>
          <w:b/>
          <w:bCs/>
        </w:rPr>
        <w:t>Slide 6</w:t>
      </w:r>
    </w:p>
    <w:p w14:paraId="0BBB8B82" w14:textId="1FC89918" w:rsidR="005E4659" w:rsidRDefault="005E4659">
      <w:r>
        <w:t xml:space="preserve">For reporting purposes, there are a few links that provide guidance for DWG reporting itself </w:t>
      </w:r>
      <w:r w:rsidR="00B56D71">
        <w:t>as well as reporting with the PIRL. TEGL 14-10, Attachment 6 and the website regarding DWGs also provide specific guidance and accountability requirements.</w:t>
      </w:r>
    </w:p>
    <w:p w14:paraId="6DA5E8FC" w14:textId="5D960667" w:rsidR="00B56D71" w:rsidRDefault="00B56D71"/>
    <w:p w14:paraId="5F8098AC" w14:textId="483FCEC3" w:rsidR="00B56D71" w:rsidRDefault="00B56D71">
      <w:pPr>
        <w:rPr>
          <w:b/>
          <w:bCs/>
        </w:rPr>
      </w:pPr>
      <w:r>
        <w:rPr>
          <w:b/>
          <w:bCs/>
        </w:rPr>
        <w:t>Slide 7</w:t>
      </w:r>
    </w:p>
    <w:p w14:paraId="52EBFBEF" w14:textId="28D8E5F7" w:rsidR="00B56D71" w:rsidRPr="00B56D71" w:rsidRDefault="00B56D71">
      <w:r>
        <w:t>I hope this short presentation has been an informative one and has added important knowledge about DWGs to your TAA toolbelt. Thank you and have a great day!</w:t>
      </w:r>
    </w:p>
    <w:p w14:paraId="620D0A3E" w14:textId="294ECBAF" w:rsidR="00D46088" w:rsidRDefault="00D46088"/>
    <w:p w14:paraId="4EE8C646" w14:textId="77777777" w:rsidR="00D46088" w:rsidRPr="00706563" w:rsidRDefault="00D46088"/>
    <w:p w14:paraId="5CAF6E9A" w14:textId="77777777" w:rsidR="005F0E60" w:rsidRDefault="005F0E60"/>
    <w:sectPr w:rsidR="005F0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F6AD7"/>
    <w:multiLevelType w:val="multilevel"/>
    <w:tmpl w:val="EBFE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4E524F"/>
    <w:multiLevelType w:val="multilevel"/>
    <w:tmpl w:val="D00A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59"/>
    <w:rsid w:val="001165BB"/>
    <w:rsid w:val="00450FA8"/>
    <w:rsid w:val="005E4659"/>
    <w:rsid w:val="005F0E60"/>
    <w:rsid w:val="00704743"/>
    <w:rsid w:val="00706563"/>
    <w:rsid w:val="007C1B79"/>
    <w:rsid w:val="00975763"/>
    <w:rsid w:val="009B044E"/>
    <w:rsid w:val="00A24EA5"/>
    <w:rsid w:val="00B122CD"/>
    <w:rsid w:val="00B22C2C"/>
    <w:rsid w:val="00B43D84"/>
    <w:rsid w:val="00B56D71"/>
    <w:rsid w:val="00B82259"/>
    <w:rsid w:val="00C02199"/>
    <w:rsid w:val="00D46088"/>
    <w:rsid w:val="00D82763"/>
    <w:rsid w:val="00DF7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DED64"/>
  <w15:chartTrackingRefBased/>
  <w15:docId w15:val="{C924DF7B-5FE7-4158-B0BE-6F09AF37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2C2C"/>
    <w:rPr>
      <w:b/>
      <w:bCs/>
    </w:rPr>
  </w:style>
  <w:style w:type="character" w:styleId="Hyperlink">
    <w:name w:val="Hyperlink"/>
    <w:basedOn w:val="DefaultParagraphFont"/>
    <w:uiPriority w:val="99"/>
    <w:semiHidden/>
    <w:unhideWhenUsed/>
    <w:rsid w:val="00B22C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755468">
      <w:bodyDiv w:val="1"/>
      <w:marLeft w:val="0"/>
      <w:marRight w:val="0"/>
      <w:marTop w:val="0"/>
      <w:marBottom w:val="0"/>
      <w:divBdr>
        <w:top w:val="none" w:sz="0" w:space="0" w:color="auto"/>
        <w:left w:val="none" w:sz="0" w:space="0" w:color="auto"/>
        <w:bottom w:val="none" w:sz="0" w:space="0" w:color="auto"/>
        <w:right w:val="none" w:sz="0" w:space="0" w:color="auto"/>
      </w:divBdr>
    </w:div>
    <w:div w:id="71882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ensus.gov/eos/www/naic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1566</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Robert J - ETA</dc:creator>
  <cp:keywords/>
  <dc:description/>
  <cp:lastModifiedBy>Johnson, Robert J - ETA</cp:lastModifiedBy>
  <cp:revision>4</cp:revision>
  <dcterms:created xsi:type="dcterms:W3CDTF">2022-04-28T14:22:00Z</dcterms:created>
  <dcterms:modified xsi:type="dcterms:W3CDTF">2022-04-29T16:26:00Z</dcterms:modified>
</cp:coreProperties>
</file>