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D3D07" w14:textId="4475CB4C" w:rsidR="000003D4" w:rsidRPr="00E40A10" w:rsidRDefault="00704F82" w:rsidP="006B1992">
      <w:pPr>
        <w:pStyle w:val="Heading1"/>
        <w:spacing w:after="0"/>
      </w:pPr>
      <w:r w:rsidRPr="00704F82">
        <w:t>YouthBuild Prospective Applicant</w:t>
      </w:r>
    </w:p>
    <w:p w14:paraId="79180677" w14:textId="06AE76F0" w:rsidR="002E57D5" w:rsidRPr="002E57D5" w:rsidRDefault="005C42F6" w:rsidP="007C21E2">
      <w:pPr>
        <w:pStyle w:val="Heading2"/>
      </w:pPr>
      <w:r w:rsidRPr="005C42F6">
        <w:t>Webcast Transcript</w:t>
      </w:r>
      <w:r w:rsidR="009B41DA">
        <w:t xml:space="preserve"> </w:t>
      </w:r>
    </w:p>
    <w:p w14:paraId="3F6ED4CE" w14:textId="284F51C1" w:rsidR="00C23400" w:rsidRDefault="00686F8E" w:rsidP="00F30316">
      <w:r w:rsidRPr="00F30316">
        <w:rPr>
          <w:b/>
          <w:bCs/>
        </w:rPr>
        <w:t>Slide 1:</w:t>
      </w:r>
      <w:r w:rsidRPr="00F30316">
        <w:t xml:space="preserve"> </w:t>
      </w:r>
      <w:r w:rsidR="00F44A79" w:rsidRPr="00F44A79">
        <w:t>Thank you for your interest in the U.S. Department of Labor’s 2025 Funding Opportunity Announcement for YouthBuild. Today, you’ll be hearing from me, Stephanie Pena, National YouthBuild Liaison, Jeff Hunt, YouthBuild Director from the U.S. Department of Labor. You’ll also here from our Department of Labor Grant Officer and Lead Grants Management Specialist for this Funding Opportunity from the Office of Grants Management.</w:t>
      </w:r>
    </w:p>
    <w:p w14:paraId="59FF2F5A" w14:textId="77777777" w:rsidR="00830E10" w:rsidRPr="00830E10" w:rsidRDefault="00686F8E" w:rsidP="00830E10">
      <w:r w:rsidRPr="00F30316">
        <w:rPr>
          <w:b/>
          <w:bCs/>
        </w:rPr>
        <w:t>Slide 2:</w:t>
      </w:r>
      <w:r w:rsidRPr="00F30316">
        <w:t xml:space="preserve"> </w:t>
      </w:r>
      <w:r w:rsidR="00830E10" w:rsidRPr="00830E10">
        <w:t>The objectives of this webcast are to:</w:t>
      </w:r>
    </w:p>
    <w:p w14:paraId="2DC883C3" w14:textId="77777777" w:rsidR="00830E10" w:rsidRPr="00830E10" w:rsidRDefault="00830E10" w:rsidP="00830E10">
      <w:pPr>
        <w:pStyle w:val="ListParagraph"/>
        <w:numPr>
          <w:ilvl w:val="0"/>
          <w:numId w:val="20"/>
        </w:numPr>
      </w:pPr>
      <w:r w:rsidRPr="00830E10">
        <w:t>Describe YouthBuild</w:t>
      </w:r>
    </w:p>
    <w:p w14:paraId="0073912E" w14:textId="58DF057E" w:rsidR="00830E10" w:rsidRPr="00830E10" w:rsidRDefault="009D37D0" w:rsidP="00830E10">
      <w:pPr>
        <w:pStyle w:val="ListParagraph"/>
        <w:numPr>
          <w:ilvl w:val="0"/>
          <w:numId w:val="20"/>
        </w:numPr>
      </w:pPr>
      <w:r>
        <w:t>And the</w:t>
      </w:r>
      <w:r w:rsidR="00830E10" w:rsidRPr="00830E10">
        <w:t xml:space="preserve"> available funding</w:t>
      </w:r>
    </w:p>
    <w:p w14:paraId="6C95542C" w14:textId="3FBBB18C" w:rsidR="00830E10" w:rsidRPr="00830E10" w:rsidRDefault="00660FB5" w:rsidP="00830E10">
      <w:pPr>
        <w:pStyle w:val="ListParagraph"/>
        <w:numPr>
          <w:ilvl w:val="0"/>
          <w:numId w:val="20"/>
        </w:numPr>
      </w:pPr>
      <w:r>
        <w:t>And to d</w:t>
      </w:r>
      <w:r w:rsidR="00830E10" w:rsidRPr="00830E10">
        <w:t>istinguish applicant categories</w:t>
      </w:r>
    </w:p>
    <w:p w14:paraId="37CAFA3F" w14:textId="244B605A" w:rsidR="00830E10" w:rsidRPr="00830E10" w:rsidRDefault="00660FB5" w:rsidP="00830E10">
      <w:pPr>
        <w:pStyle w:val="ListParagraph"/>
        <w:numPr>
          <w:ilvl w:val="0"/>
          <w:numId w:val="20"/>
        </w:numPr>
      </w:pPr>
      <w:r>
        <w:t>And to d</w:t>
      </w:r>
      <w:r w:rsidR="00830E10" w:rsidRPr="00830E10">
        <w:t>escribe application components</w:t>
      </w:r>
    </w:p>
    <w:p w14:paraId="00EF153D" w14:textId="4338C170" w:rsidR="00830E10" w:rsidRPr="00830E10" w:rsidRDefault="00660FB5" w:rsidP="00830E10">
      <w:pPr>
        <w:pStyle w:val="ListParagraph"/>
        <w:numPr>
          <w:ilvl w:val="0"/>
          <w:numId w:val="20"/>
        </w:numPr>
      </w:pPr>
      <w:r>
        <w:t xml:space="preserve">And </w:t>
      </w:r>
      <w:r w:rsidR="009D37D0">
        <w:t>w</w:t>
      </w:r>
      <w:r w:rsidR="00830E10" w:rsidRPr="00830E10">
        <w:t xml:space="preserve">ork </w:t>
      </w:r>
      <w:r w:rsidR="009D37D0">
        <w:t>s</w:t>
      </w:r>
      <w:r w:rsidR="00830E10" w:rsidRPr="00830E10">
        <w:t xml:space="preserve">ite </w:t>
      </w:r>
      <w:r w:rsidR="00F90362">
        <w:t>r</w:t>
      </w:r>
      <w:r w:rsidR="00F90362" w:rsidRPr="00830E10">
        <w:t>equirements</w:t>
      </w:r>
    </w:p>
    <w:p w14:paraId="6F0E6A2C" w14:textId="36CD5BEC" w:rsidR="00830E10" w:rsidRPr="00830E10" w:rsidRDefault="00660FB5" w:rsidP="00830E10">
      <w:pPr>
        <w:pStyle w:val="ListParagraph"/>
        <w:numPr>
          <w:ilvl w:val="0"/>
          <w:numId w:val="20"/>
        </w:numPr>
      </w:pPr>
      <w:r>
        <w:t xml:space="preserve">And </w:t>
      </w:r>
      <w:r w:rsidR="00830E10" w:rsidRPr="00830E10">
        <w:t xml:space="preserve"> Construction Plus</w:t>
      </w:r>
    </w:p>
    <w:p w14:paraId="170C0FDA" w14:textId="0A056786" w:rsidR="00830E10" w:rsidRPr="00830E10" w:rsidRDefault="00660FB5" w:rsidP="00830E10">
      <w:pPr>
        <w:pStyle w:val="ListParagraph"/>
        <w:numPr>
          <w:ilvl w:val="0"/>
          <w:numId w:val="20"/>
        </w:numPr>
      </w:pPr>
      <w:r>
        <w:t>We’ll also share</w:t>
      </w:r>
      <w:r w:rsidR="00830E10" w:rsidRPr="00830E10">
        <w:t xml:space="preserve"> additional resources</w:t>
      </w:r>
    </w:p>
    <w:p w14:paraId="2760A8DA" w14:textId="18BAA87F" w:rsidR="00F30316" w:rsidRDefault="00660FB5" w:rsidP="00830E10">
      <w:pPr>
        <w:pStyle w:val="ListParagraph"/>
        <w:numPr>
          <w:ilvl w:val="0"/>
          <w:numId w:val="20"/>
        </w:numPr>
      </w:pPr>
      <w:r>
        <w:t xml:space="preserve">And </w:t>
      </w:r>
      <w:r w:rsidR="009D37D0">
        <w:t>discus b</w:t>
      </w:r>
      <w:r w:rsidR="00830E10" w:rsidRPr="00830E10">
        <w:t xml:space="preserve">udget and </w:t>
      </w:r>
      <w:r w:rsidR="009D37D0">
        <w:t>ma</w:t>
      </w:r>
      <w:r w:rsidR="00830E10" w:rsidRPr="00830E10">
        <w:t>tch requirements</w:t>
      </w:r>
    </w:p>
    <w:p w14:paraId="66999207" w14:textId="1FA5D437" w:rsidR="00F30316" w:rsidRDefault="00D23074" w:rsidP="00F30316">
      <w:r w:rsidRPr="00F30316">
        <w:rPr>
          <w:b/>
          <w:bCs/>
        </w:rPr>
        <w:t>Slide 3:</w:t>
      </w:r>
      <w:r w:rsidRPr="00F30316">
        <w:t xml:space="preserve"> </w:t>
      </w:r>
      <w:r w:rsidR="002F38A2" w:rsidRPr="002F38A2">
        <w:t xml:space="preserve">YouthBuild is a workforce development program that provides education, training, and leadership development opportunities to young people who face barriers to employment. The Workforce Innovation and Opportunity Act </w:t>
      </w:r>
      <w:r w:rsidR="005A601A">
        <w:t xml:space="preserve">or </w:t>
      </w:r>
      <w:r w:rsidR="002F38A2" w:rsidRPr="002F38A2">
        <w:t>WIOA</w:t>
      </w:r>
      <w:r w:rsidR="005A601A">
        <w:t xml:space="preserve">, </w:t>
      </w:r>
      <w:r w:rsidR="002F38A2" w:rsidRPr="002F38A2">
        <w:t>designates YouthBuild as a pre-apprenticeship model, which requires alignment with local employer needs, supportive services for participants, career exploration, credential opportunities, and partnership with one or more registered apprenticeship programs. YouthBuild is administered by the US Department of Labor’s Employment and Training Administration (ETA).</w:t>
      </w:r>
    </w:p>
    <w:p w14:paraId="48F5BBC8" w14:textId="27BE2995" w:rsidR="00686F8E" w:rsidRDefault="00256629" w:rsidP="002F38A2">
      <w:r w:rsidRPr="00F30316">
        <w:rPr>
          <w:b/>
          <w:bCs/>
        </w:rPr>
        <w:t>Slide 4:</w:t>
      </w:r>
      <w:r w:rsidRPr="00F30316">
        <w:t xml:space="preserve"> </w:t>
      </w:r>
      <w:r w:rsidR="002F38A2" w:rsidRPr="002F38A2">
        <w:t>YouthBuild participants must be between the ages of 16 and 24. Most participants left high school without a diploma and are either a member of a low-income family, a foster care youth, a court-involved youth, a youth with a disability, a child of an incarcerated parent, or a migrant youth. There are limited exceptions to these eligibility requirements.</w:t>
      </w:r>
    </w:p>
    <w:p w14:paraId="4D3670A2" w14:textId="19979B3C" w:rsidR="002F38A2" w:rsidRDefault="002F38A2" w:rsidP="002F38A2">
      <w:r w:rsidRPr="00735E9B">
        <w:rPr>
          <w:b/>
          <w:bCs/>
        </w:rPr>
        <w:t>Slide 5:</w:t>
      </w:r>
      <w:r>
        <w:t xml:space="preserve"> </w:t>
      </w:r>
      <w:r w:rsidR="00C66A0C" w:rsidRPr="00C66A0C">
        <w:t xml:space="preserve">Participants spend at least 50 percent of program time receiving education services that may lead to either a high school diploma or its State-recognized equivalent. They spend at least 40 percent of program time engaged in workforce and skills development activities. All DOL-funded YouthBuild programs must train participants in construction while they build or significantly renovate at least one unit of housing for homeless individuals or low-income families, or transitional housing for homeless </w:t>
      </w:r>
      <w:r w:rsidR="00C66A0C" w:rsidRPr="00C66A0C">
        <w:lastRenderedPageBreak/>
        <w:t>individuals. Most programs also train participants in other in-demand industries such as healthcare, advanced manufacturing, or hospitality</w:t>
      </w:r>
      <w:r w:rsidR="00876C68">
        <w:t>.</w:t>
      </w:r>
      <w:r w:rsidR="00C66A0C" w:rsidRPr="00C66A0C">
        <w:t xml:space="preserve"> </w:t>
      </w:r>
      <w:r w:rsidR="00876C68">
        <w:t>T</w:t>
      </w:r>
      <w:r w:rsidR="00C66A0C" w:rsidRPr="00C66A0C">
        <w:t>his additional training is known as Construction Plus. Participants spend up to 10 percent of program time engaged in leadership development and community service activities.</w:t>
      </w:r>
    </w:p>
    <w:p w14:paraId="5FDFC299" w14:textId="395FBCC1" w:rsidR="00C66A0C" w:rsidRDefault="00C66A0C" w:rsidP="002F38A2">
      <w:r w:rsidRPr="0002611A">
        <w:rPr>
          <w:b/>
          <w:bCs/>
        </w:rPr>
        <w:t>Slide 6:</w:t>
      </w:r>
      <w:r>
        <w:t xml:space="preserve"> </w:t>
      </w:r>
      <w:r w:rsidR="0038340B" w:rsidRPr="0038340B">
        <w:t>The period of performance for YouthBuild grants is 40 months: a planning period of up to 4 months; two years of active program services for one or more cohorts of youth; and 12 months of follow-up services and tracking of participant outcomes. Cohort schedules vary, but an eligible individual selected for participation in the program must be offered full-time participation in the program for not less than 6 months and not more than 24 months. Note that grantees must reserve five percent of the award amount to be expended during the required twelve months of follow-up services.</w:t>
      </w:r>
    </w:p>
    <w:p w14:paraId="36D61E78" w14:textId="22B2A183" w:rsidR="00F44A79" w:rsidRPr="00F44A79" w:rsidRDefault="0038340B" w:rsidP="00F44A79">
      <w:r w:rsidRPr="0002611A">
        <w:rPr>
          <w:b/>
          <w:bCs/>
        </w:rPr>
        <w:t>Slide 7:</w:t>
      </w:r>
      <w:r>
        <w:t xml:space="preserve"> </w:t>
      </w:r>
      <w:r w:rsidR="00F44A79" w:rsidRPr="00F44A79">
        <w:t>Eligible applicants are public or private non-profit agencies including consortia or agencies or . This means that eligible organizations can either be private non-profits or public organizations. Eligibility is determined by the Workforce Innovation and Opportunity Act, but this is a list of the most common eligible applicant types, which are public or private non-profit agencies:</w:t>
      </w:r>
    </w:p>
    <w:p w14:paraId="4F5BA8A0" w14:textId="77777777" w:rsidR="00F44A79" w:rsidRPr="00F44A79" w:rsidRDefault="00F44A79" w:rsidP="00F44A79">
      <w:pPr>
        <w:pStyle w:val="ListParagraph"/>
        <w:numPr>
          <w:ilvl w:val="0"/>
          <w:numId w:val="26"/>
        </w:numPr>
      </w:pPr>
      <w:r w:rsidRPr="00F44A79">
        <w:t xml:space="preserve">Community and faith-based organizations with IRS 501(c)(3) non-profit status; </w:t>
      </w:r>
    </w:p>
    <w:p w14:paraId="0A60E376" w14:textId="77777777" w:rsidR="00F44A79" w:rsidRPr="00F44A79" w:rsidRDefault="00F44A79" w:rsidP="00F44A79">
      <w:pPr>
        <w:pStyle w:val="ListParagraph"/>
        <w:numPr>
          <w:ilvl w:val="0"/>
          <w:numId w:val="26"/>
        </w:numPr>
      </w:pPr>
      <w:r w:rsidRPr="00F44A79">
        <w:t xml:space="preserve">An entity carrying out activities under WIOA, such as a local workforce development board or one-stop center partner program; </w:t>
      </w:r>
    </w:p>
    <w:p w14:paraId="4202D778" w14:textId="77777777" w:rsidR="00F44A79" w:rsidRPr="00F44A79" w:rsidRDefault="00F44A79" w:rsidP="00F44A79">
      <w:pPr>
        <w:pStyle w:val="ListParagraph"/>
        <w:numPr>
          <w:ilvl w:val="0"/>
          <w:numId w:val="26"/>
        </w:numPr>
      </w:pPr>
      <w:r w:rsidRPr="00F44A79">
        <w:t>Educational institutions, including a local school board, charter schools, public school district, or community college;</w:t>
      </w:r>
    </w:p>
    <w:p w14:paraId="0210F9E1" w14:textId="77777777" w:rsidR="00F44A79" w:rsidRPr="00F44A79" w:rsidRDefault="00F44A79" w:rsidP="00F44A79">
      <w:pPr>
        <w:pStyle w:val="ListParagraph"/>
        <w:numPr>
          <w:ilvl w:val="0"/>
          <w:numId w:val="26"/>
        </w:numPr>
      </w:pPr>
      <w:r w:rsidRPr="00F44A79">
        <w:t xml:space="preserve">A community action agency; </w:t>
      </w:r>
    </w:p>
    <w:p w14:paraId="70B6072A" w14:textId="77777777" w:rsidR="00F44A79" w:rsidRPr="00F44A79" w:rsidRDefault="006F065F" w:rsidP="00F44A79">
      <w:r w:rsidRPr="00C71B3B">
        <w:rPr>
          <w:b/>
          <w:bCs/>
        </w:rPr>
        <w:t>Slide 8:</w:t>
      </w:r>
      <w:r>
        <w:t xml:space="preserve"> </w:t>
      </w:r>
      <w:r w:rsidR="00F44A79" w:rsidRPr="00F44A79">
        <w:t xml:space="preserve">For this FOA, DOL expects availability of approximately $98 million to fund approximately 57 grants.  Applicants may apply for a grant amount ranging from $1,000,000 to a ceiling amount of $2 million. </w:t>
      </w:r>
    </w:p>
    <w:p w14:paraId="69987BC4" w14:textId="506DB985" w:rsidR="00F44A79" w:rsidRPr="00F44A79" w:rsidRDefault="00F44A79" w:rsidP="00F44A79">
      <w:r w:rsidRPr="00F44A79">
        <w:t>To ensure that grant funds are providing the greatest benefit, DOL has established a cost per participant for the YouthBuild program, based on an analysis of previous grant award enrollment and spending trends.  The cost per participant creates a minimum goal for participant enrollment during the period of performance, as determined by the amount of funds requested by the applicant. It is not a limit on the kinds of support a grantee can offer any individual participant. DOL is using an estimated cost per participant of $23,000 (not including match funding) to determine the minimum number of participants a grantee must enroll. For example, an applicant requesting funding for $2,000,000 must enroll no fewer than 87 participants but may enroll more than 87 participants.</w:t>
      </w:r>
    </w:p>
    <w:p w14:paraId="0EA04C8E" w14:textId="77777777" w:rsidR="00F44A79" w:rsidRDefault="00F44A79" w:rsidP="00F44A79">
      <w:r w:rsidRPr="00F44A79">
        <w:t>DOL YouthBuild grants do have a 25 percent match requirement, which we will discuss further in this webcast.</w:t>
      </w:r>
    </w:p>
    <w:p w14:paraId="71CD31E1" w14:textId="77777777" w:rsidR="00F44A79" w:rsidRPr="00F44A79" w:rsidRDefault="006F065F" w:rsidP="00F44A79">
      <w:r w:rsidRPr="00485F6B">
        <w:rPr>
          <w:b/>
          <w:bCs/>
        </w:rPr>
        <w:t>Slide 9:</w:t>
      </w:r>
      <w:r>
        <w:t xml:space="preserve"> </w:t>
      </w:r>
      <w:r w:rsidR="00F44A79" w:rsidRPr="00F44A79">
        <w:t xml:space="preserve">DOL intends to award at least 50 percent of the total available grant competition funding to eligible applicants previously funded by the DOL YouthBuild program that have demonstrated success in the program, referred to as Category A.  DOL will award the remainder of funds to other qualifying organizations, referred to as Category B. Organizations that received a DOL YouthBuild grant in program year 2017, 2018, or 2019 are considered Category A applicants. If the applicant's organization received </w:t>
      </w:r>
      <w:r w:rsidR="00F44A79" w:rsidRPr="00F44A79">
        <w:lastRenderedPageBreak/>
        <w:t xml:space="preserve">multiple YouthBuild awards within the relevant Category A funding years, the applicant's abstract must indicate which grant DOL should evaluate. If the abstract does not indicate a grant, DOL will evaluate the criteria in this section for the most recently awarded grant from the Fiscal Years listed on this slide. DOL will review the final quarterly performance report submitted. Category A applicants may request between $1 million and $2 million and propose one or more Construction Plus fields. </w:t>
      </w:r>
    </w:p>
    <w:p w14:paraId="67FF7D5F" w14:textId="77777777" w:rsidR="00F44A79" w:rsidRPr="00F44A79" w:rsidRDefault="00F44A79" w:rsidP="00F44A79">
      <w:r w:rsidRPr="00F44A79">
        <w:t xml:space="preserve">Organizations that did not receive a DOL YouthBuild grant in those years are considered Category B applicants. Category B applicants may request between $1 million and $1.5 million and propose no more than one Construction Plus field. </w:t>
      </w:r>
    </w:p>
    <w:p w14:paraId="4F79906F" w14:textId="77777777" w:rsidR="00F44A79" w:rsidRPr="00F44A79" w:rsidRDefault="00F44A79" w:rsidP="00F44A79">
      <w:r w:rsidRPr="00F44A79">
        <w:t>Organizations that received a DOL YouthBuild grant in program year 2024 may not apply in this competition.</w:t>
      </w:r>
    </w:p>
    <w:p w14:paraId="30055131" w14:textId="77777777" w:rsidR="00BA3F2E" w:rsidRPr="00BA3F2E" w:rsidRDefault="00BA3F2E" w:rsidP="00BA3F2E">
      <w:r w:rsidRPr="00BA3F2E">
        <w:t xml:space="preserve">Now I’m going to turn it over to Stephanie to go over some application components. </w:t>
      </w:r>
    </w:p>
    <w:p w14:paraId="3F435F37" w14:textId="570887DC" w:rsidR="00FD5A5F" w:rsidRDefault="00FD5A5F" w:rsidP="00BA3F2E">
      <w:r w:rsidRPr="00485F6B">
        <w:rPr>
          <w:b/>
          <w:bCs/>
        </w:rPr>
        <w:t>Slide 10:</w:t>
      </w:r>
      <w:r>
        <w:t xml:space="preserve"> </w:t>
      </w:r>
      <w:r w:rsidR="00900D77" w:rsidRPr="00900D77">
        <w:t xml:space="preserve">Thank you, Jeff. All applicants must submit these 7 components. Applicants will need to include other attachments, as described in the Required Attachments and Requested Attachments sections of the FOA. For example, Applicants that opt to propose Construction Plus training must include additional information. </w:t>
      </w:r>
      <w:r w:rsidR="00234029">
        <w:t>Alec</w:t>
      </w:r>
      <w:r w:rsidR="00900D77" w:rsidRPr="00900D77">
        <w:t xml:space="preserve"> will go over the requirements of the SF-424, SF-424A, Budget Narrative, and Match Narrative in more detail.  </w:t>
      </w:r>
    </w:p>
    <w:p w14:paraId="1B654981" w14:textId="08CEFE2B" w:rsidR="00AA0368" w:rsidRPr="00AA0368" w:rsidRDefault="00900D77" w:rsidP="00AA0368">
      <w:r w:rsidRPr="00485F6B">
        <w:rPr>
          <w:b/>
          <w:bCs/>
        </w:rPr>
        <w:t>Slide 11:</w:t>
      </w:r>
      <w:r>
        <w:t xml:space="preserve"> </w:t>
      </w:r>
      <w:r w:rsidR="00AA0368" w:rsidRPr="00AA0368">
        <w:t>All DOL funded YouthBuild programs must train participants in construction while they build or significantly renovate at least one unit of affordable housing.</w:t>
      </w:r>
    </w:p>
    <w:p w14:paraId="7A6E90B6" w14:textId="5DEC30DF" w:rsidR="00AA0368" w:rsidRPr="00AA0368" w:rsidRDefault="00AA0368" w:rsidP="00AA0368">
      <w:r w:rsidRPr="00AA0368">
        <w:t>Applicants MUST include the completed ETA-9143 forms (including all required attachments) for each proposed work site as attachments to the Project Narrative. They will not be counted against page limitations. Instructions on how to complete the ETA-9143 form and all required attachments can be found in Appendix C of the FOA.</w:t>
      </w:r>
    </w:p>
    <w:p w14:paraId="21101E10" w14:textId="653CCC1F" w:rsidR="00AA0368" w:rsidRPr="00AA0368" w:rsidRDefault="00AA0368" w:rsidP="00AA0368">
      <w:r w:rsidRPr="00AA0368">
        <w:t>Applicants should submit no more than 3 work sites with all required attachments. The ETA-9143 form</w:t>
      </w:r>
      <w:r w:rsidR="00BE407B">
        <w:t>s</w:t>
      </w:r>
      <w:r w:rsidRPr="00AA0368">
        <w:t xml:space="preserve"> that must be used for work site submissions can be found at https://www.dol.gov/agencies/eta/youth/youthbuild</w:t>
      </w:r>
      <w:r w:rsidR="00485F6B">
        <w:t>.</w:t>
      </w:r>
    </w:p>
    <w:p w14:paraId="6D5671B0" w14:textId="5BA33E63" w:rsidR="00AA0368" w:rsidRPr="00AA0368" w:rsidRDefault="00AA0368" w:rsidP="00AA0368">
      <w:r w:rsidRPr="00AA0368">
        <w:t>Each work site form is for an individual property address or parcel.  Applicants may submit up to three work site</w:t>
      </w:r>
      <w:r w:rsidR="00C211EE">
        <w:t>s</w:t>
      </w:r>
      <w:r w:rsidRPr="00AA0368">
        <w:t xml:space="preserve"> with attachments. Only three work site forms will be reviewed.  If an applicant does not have any work site forms that meet the requirements to be reviewed, then that applicant will be considered non-</w:t>
      </w:r>
      <w:r w:rsidR="00485F6B" w:rsidRPr="00AA0368">
        <w:t>responsive,</w:t>
      </w:r>
      <w:r w:rsidRPr="00AA0368">
        <w:t xml:space="preserve"> and their application will not be reviewed.</w:t>
      </w:r>
    </w:p>
    <w:p w14:paraId="28545A1D" w14:textId="77777777" w:rsidR="00AA0368" w:rsidRPr="00AA0368" w:rsidRDefault="00AA0368" w:rsidP="00AA0368">
      <w:r w:rsidRPr="00AA0368">
        <w:t>All applicants must use the ETA-9143 form available at the above web site, which has an expiration date of November 30, 2024.  Earlier versions of the work site form are not acceptable.</w:t>
      </w:r>
    </w:p>
    <w:p w14:paraId="0C918905" w14:textId="4379616D" w:rsidR="00900D77" w:rsidRDefault="00AA0368" w:rsidP="00AA0368">
      <w:r w:rsidRPr="00AA0368">
        <w:t xml:space="preserve">No work site is approved for training YouthBuild participants until it is incorporated as a part of the Statement of Work (either as part of the original submission or via a SOW </w:t>
      </w:r>
      <w:r w:rsidR="00BE0F9A">
        <w:t>amendment</w:t>
      </w:r>
      <w:r w:rsidRPr="00AA0368">
        <w:t xml:space="preserve"> process). Using work sites that have not been approved can result in unallowed cost findings for grantees.</w:t>
      </w:r>
    </w:p>
    <w:p w14:paraId="7D75E9A2" w14:textId="7D554560" w:rsidR="00066B73" w:rsidRPr="00066B73" w:rsidRDefault="00AA0368" w:rsidP="00066B73">
      <w:r w:rsidRPr="00485F6B">
        <w:rPr>
          <w:b/>
          <w:bCs/>
        </w:rPr>
        <w:t>Slide 12:</w:t>
      </w:r>
      <w:r>
        <w:t xml:space="preserve"> </w:t>
      </w:r>
      <w:r w:rsidR="00066B73" w:rsidRPr="00066B73">
        <w:t>The work site forms are not part of the criteria section this year, however, they are a requirement and without full work site documentation, the applica</w:t>
      </w:r>
      <w:r w:rsidR="00D8786C">
        <w:t>nt</w:t>
      </w:r>
      <w:r w:rsidR="00066B73" w:rsidRPr="00066B73">
        <w:t xml:space="preserve"> will be considered non-responsive. </w:t>
      </w:r>
      <w:r w:rsidR="00066B73" w:rsidRPr="00066B73">
        <w:lastRenderedPageBreak/>
        <w:t xml:space="preserve">If an applicant submits more than one work site, the information on each work site attachment must be correct. </w:t>
      </w:r>
    </w:p>
    <w:p w14:paraId="2F90E011" w14:textId="77777777" w:rsidR="00066B73" w:rsidRPr="00066B73" w:rsidRDefault="00066B73" w:rsidP="00066B73"/>
    <w:p w14:paraId="63F0BB86" w14:textId="77777777" w:rsidR="00066B73" w:rsidRPr="00066B73" w:rsidRDefault="00066B73" w:rsidP="00066B73">
      <w:r w:rsidRPr="00066B73">
        <w:t xml:space="preserve">There are minimum requirements that help to determine whether a work site qualifies.  In particular, the work site must offer a sufficiently broad and deep hands-on construction experience to the youth participants.  Work sites must provide this experience in more than one module or skill area of construction curricula.  </w:t>
      </w:r>
    </w:p>
    <w:p w14:paraId="2556EB3C" w14:textId="77777777" w:rsidR="00066B73" w:rsidRPr="00066B73" w:rsidRDefault="00066B73" w:rsidP="00066B73">
      <w:r w:rsidRPr="00066B73">
        <w:t>For instance, this could include foundation, framing, brick masonry, carpentry, painting, plumbing, weatherization – as long as it includes at least two of the core modules of the construction curriculum being used. Painting alone or painting in addition to landscaping would not qualify as significant rehabilitation for YouthBuild participants because this does not provide a depth and breadth of exposure to multiple modules or skill areas.</w:t>
      </w:r>
    </w:p>
    <w:p w14:paraId="655F5178" w14:textId="77777777" w:rsidR="00066B73" w:rsidRPr="00066B73" w:rsidRDefault="00066B73" w:rsidP="00066B73">
      <w:r w:rsidRPr="00485F6B">
        <w:rPr>
          <w:b/>
          <w:bCs/>
        </w:rPr>
        <w:t>Slide 13:</w:t>
      </w:r>
      <w:r>
        <w:t xml:space="preserve"> </w:t>
      </w:r>
      <w:r w:rsidRPr="00066B73">
        <w:t>There are a few training and employment guidance letters, known as TEGLs, that I want to mention that are very important for YouthBuild grant applicants to be familiar with.</w:t>
      </w:r>
    </w:p>
    <w:p w14:paraId="14C555C4" w14:textId="0FF39E89" w:rsidR="00066B73" w:rsidRPr="00066B73" w:rsidRDefault="00066B73" w:rsidP="00066B73">
      <w:r w:rsidRPr="00066B73">
        <w:t xml:space="preserve">TEGL 06-15: Qualifying Work Sites and Construction Projects for YouthBuild Grantees describes the minimum level of construction work that allows a work site to qualify, as I described </w:t>
      </w:r>
      <w:r w:rsidR="00640AF3">
        <w:t>last slide</w:t>
      </w:r>
      <w:r w:rsidRPr="00066B73">
        <w:t>.  The requirement is for depth and breadth – depth of modules (two or more) and breadth of skill areas (two or more).  Areas such as landscaping, deconstruction, etc. can be done in conjunction but cannot be the whole of the work site work that’s done to qualify.  This is a good companion to TEGL 05-10 change 1.</w:t>
      </w:r>
    </w:p>
    <w:p w14:paraId="71780CA1" w14:textId="241BA643" w:rsidR="00066B73" w:rsidRPr="00066B73" w:rsidRDefault="00066B73" w:rsidP="00066B73">
      <w:r w:rsidRPr="00066B73">
        <w:t xml:space="preserve">TEGL 05-10, Change 1, provides updated guidance on match and allowable construction and other capital asset costs for the YouthBuild program – </w:t>
      </w:r>
      <w:r w:rsidR="0031312C" w:rsidRPr="00066B73">
        <w:t>this is</w:t>
      </w:r>
      <w:r w:rsidRPr="00066B73">
        <w:t xml:space="preserve"> a key TEGL.  This TEGL is very helpful as it describes both match allowability and allowable construction costs with grant funds.  There are key limitations on the allowable construction costs with YouthBuild grant funds.  All grant funds must be expended only on construction materials that are directly related to the construction training youth participants receive.  The Attachment to this TEGL, on selected items of cost, is very helpful in understanding costs that are never allowed, costs that are always allowed and costs that may be allowed with grant office approval.   Even for materials that are always allowable, this is true only for the portion of the construction work on which the youth participants are being directly trained. </w:t>
      </w:r>
    </w:p>
    <w:p w14:paraId="258960D2" w14:textId="41BC3D2F" w:rsidR="00066B73" w:rsidRPr="00066B73" w:rsidRDefault="00066B73" w:rsidP="00066B73">
      <w:r w:rsidRPr="00066B73">
        <w:t xml:space="preserve">TEGL 11-16 Change 1 provides a reminder to applicants and grantees that YouthBuild is not exempt from the provisions of Davis-Bacon if using </w:t>
      </w:r>
      <w:r w:rsidR="00BA698F" w:rsidRPr="00066B73">
        <w:t>federally funded</w:t>
      </w:r>
      <w:r w:rsidRPr="00066B73">
        <w:t xml:space="preserve"> work sites and it is important to understand these requirements when planning for work sites that may have Federal funding included. This TEGL was recently updated in order to address broken web links from the original version.</w:t>
      </w:r>
    </w:p>
    <w:p w14:paraId="669358F3" w14:textId="79C8FCD2" w:rsidR="008F6F58" w:rsidRPr="008F6F58" w:rsidRDefault="00066B73" w:rsidP="008F6F58">
      <w:r w:rsidRPr="00485F6B">
        <w:rPr>
          <w:b/>
          <w:bCs/>
        </w:rPr>
        <w:t>Slide 14:</w:t>
      </w:r>
      <w:r>
        <w:t xml:space="preserve"> </w:t>
      </w:r>
      <w:r w:rsidR="008F6F58" w:rsidRPr="008F6F58">
        <w:t xml:space="preserve">DOL strongly encourages all YouthBuild applicants to expand into Construction Plus. </w:t>
      </w:r>
    </w:p>
    <w:p w14:paraId="3DC852D2" w14:textId="77777777" w:rsidR="008F6F58" w:rsidRPr="008F6F58" w:rsidRDefault="008F6F58" w:rsidP="008F6F58">
      <w:r w:rsidRPr="008F6F58">
        <w:t>One goal of the Construction Plus model is to use the strengths of the pre-apprenticeship model and provide training in in-demand industries for participants who are not interested in pursuing a construction career or in local areas where construction may not be as much of a growth industry as other fields.</w:t>
      </w:r>
    </w:p>
    <w:p w14:paraId="491E1562" w14:textId="77777777" w:rsidR="008F6F58" w:rsidRPr="008F6F58" w:rsidRDefault="008F6F58" w:rsidP="008F6F58"/>
    <w:p w14:paraId="561AC5A0" w14:textId="6A5F425D" w:rsidR="008F6F58" w:rsidRPr="008F6F58" w:rsidRDefault="008F6F58" w:rsidP="008F6F58">
      <w:r w:rsidRPr="008F6F58">
        <w:t>In order to be considered a Construction Plus program, YouthBuild grantees must provide additional industry training, either directly by the applicant or through a contract in which DOL grant or qualifying match funds are used in support of the training. Some YouthBuild programs and applicants may have strong referral partnerships that allow them to refer YouthBuild participants to training partners focused on non-construction sectors during or after exit. However, this is not Construction Plus and</w:t>
      </w:r>
      <w:r w:rsidR="000550EF">
        <w:t xml:space="preserve"> it</w:t>
      </w:r>
      <w:r w:rsidRPr="008F6F58">
        <w:t xml:space="preserve"> is instead a referral partnership or a placement outcome, depending on when the partner services occur. </w:t>
      </w:r>
    </w:p>
    <w:p w14:paraId="474ED56E" w14:textId="2AFA53E4" w:rsidR="008F6F58" w:rsidRPr="008F6F58" w:rsidRDefault="008F6F58" w:rsidP="008F6F58">
      <w:r w:rsidRPr="008F6F58">
        <w:t xml:space="preserve">The Construction Plus component must also include a focus on training for the attainment of industry-recognized certifications. For example, CPR or ServSafe, are not providing a Construction Plus component and cannot count those credentials as participant outcomes because they are not providing youth training that results in qualifying industry-recognized certifications. </w:t>
      </w:r>
    </w:p>
    <w:p w14:paraId="6A780991" w14:textId="1F319889" w:rsidR="008F6F58" w:rsidRPr="008F6F58" w:rsidRDefault="008F6F58" w:rsidP="008F6F58">
      <w:r w:rsidRPr="008F6F58">
        <w:t xml:space="preserve">Further, in order to qualify as Construction Plus, the training must include real-world work </w:t>
      </w:r>
      <w:r w:rsidR="00957090" w:rsidRPr="008F6F58">
        <w:t>experience</w:t>
      </w:r>
      <w:r w:rsidRPr="008F6F58">
        <w:t xml:space="preserve"> with employer/training providers.</w:t>
      </w:r>
    </w:p>
    <w:p w14:paraId="07868361" w14:textId="15D609BF" w:rsidR="008F6F58" w:rsidRPr="008F6F58" w:rsidRDefault="008F6F58" w:rsidP="008F6F58">
      <w:r w:rsidRPr="008F6F58">
        <w:t>Please note that every YouthBuild program must provide construction industry training to participants.  For Construction Plus programs that are also providing training in additional in-demand industries, there must be a sufficient number of youth enrolled in construction training to complete at least one unit of low-income housing during the grant period of performance.</w:t>
      </w:r>
    </w:p>
    <w:p w14:paraId="6CAD705B" w14:textId="4E6AC600" w:rsidR="00066B73" w:rsidRDefault="008F6F58" w:rsidP="008F6F58">
      <w:r w:rsidRPr="008F6F58">
        <w:t>Category B applicants may only expand into One Construction Plus Field.</w:t>
      </w:r>
    </w:p>
    <w:p w14:paraId="47532CA8" w14:textId="14481F8C" w:rsidR="00AD67BC" w:rsidRPr="00AD67BC" w:rsidRDefault="008F6F58" w:rsidP="00AD67BC">
      <w:r w:rsidRPr="00485F6B">
        <w:rPr>
          <w:b/>
          <w:bCs/>
        </w:rPr>
        <w:t>Slide 15:</w:t>
      </w:r>
      <w:r>
        <w:t xml:space="preserve"> </w:t>
      </w:r>
      <w:r w:rsidR="00AD67BC" w:rsidRPr="00AD67BC">
        <w:t>The 6 required components of Construction Plus are:</w:t>
      </w:r>
    </w:p>
    <w:p w14:paraId="5CE4F6BB" w14:textId="77777777" w:rsidR="00AD67BC" w:rsidRPr="00AD67BC" w:rsidRDefault="00AD67BC" w:rsidP="00AD67BC">
      <w:pPr>
        <w:pStyle w:val="ListParagraph"/>
        <w:numPr>
          <w:ilvl w:val="0"/>
          <w:numId w:val="22"/>
        </w:numPr>
      </w:pPr>
      <w:r w:rsidRPr="00AD67BC">
        <w:t>The industry must be outside the construction field.</w:t>
      </w:r>
    </w:p>
    <w:p w14:paraId="56DA4BA2" w14:textId="606227CC" w:rsidR="00AD67BC" w:rsidRPr="00AD67BC" w:rsidRDefault="00AD67BC" w:rsidP="00AD67BC">
      <w:pPr>
        <w:pStyle w:val="ListParagraph"/>
        <w:numPr>
          <w:ilvl w:val="0"/>
          <w:numId w:val="22"/>
        </w:numPr>
      </w:pPr>
      <w:r w:rsidRPr="00AD67BC">
        <w:t>Local labor market data must support the need for the programming.</w:t>
      </w:r>
    </w:p>
    <w:p w14:paraId="0F946EAE" w14:textId="702B134C" w:rsidR="00AD67BC" w:rsidRPr="00AD67BC" w:rsidRDefault="00AD67BC" w:rsidP="00AD67BC">
      <w:pPr>
        <w:pStyle w:val="ListParagraph"/>
        <w:numPr>
          <w:ilvl w:val="0"/>
          <w:numId w:val="22"/>
        </w:numPr>
      </w:pPr>
      <w:r w:rsidRPr="00AD67BC">
        <w:t xml:space="preserve">Credentials must be portable, stackable, and </w:t>
      </w:r>
      <w:r w:rsidR="00E91EF2" w:rsidRPr="00AD67BC">
        <w:t>industry recognized</w:t>
      </w:r>
      <w:r w:rsidRPr="00AD67BC">
        <w:t>.</w:t>
      </w:r>
    </w:p>
    <w:p w14:paraId="4C66C11B" w14:textId="066FC2F2" w:rsidR="00AD67BC" w:rsidRPr="00AD67BC" w:rsidRDefault="00AD67BC" w:rsidP="00AD67BC">
      <w:pPr>
        <w:pStyle w:val="ListParagraph"/>
        <w:numPr>
          <w:ilvl w:val="0"/>
          <w:numId w:val="22"/>
        </w:numPr>
      </w:pPr>
      <w:r w:rsidRPr="00AD67BC">
        <w:t>The budget narrative must include funds for the training from grant funds or match.</w:t>
      </w:r>
    </w:p>
    <w:p w14:paraId="1D0B15FB" w14:textId="2DA0764D" w:rsidR="00AD67BC" w:rsidRPr="00AD67BC" w:rsidRDefault="00AD67BC" w:rsidP="00AD67BC">
      <w:pPr>
        <w:pStyle w:val="ListParagraph"/>
        <w:numPr>
          <w:ilvl w:val="0"/>
          <w:numId w:val="22"/>
        </w:numPr>
      </w:pPr>
      <w:r w:rsidRPr="00AD67BC">
        <w:t>Programming must include a qualifying hands-on work experience component in the Construction Plus industry.</w:t>
      </w:r>
    </w:p>
    <w:p w14:paraId="15C0CC40" w14:textId="2BA5F7B3" w:rsidR="008F6F58" w:rsidRDefault="00AD67BC" w:rsidP="00AD67BC">
      <w:pPr>
        <w:pStyle w:val="ListParagraph"/>
        <w:numPr>
          <w:ilvl w:val="0"/>
          <w:numId w:val="22"/>
        </w:numPr>
      </w:pPr>
      <w:r w:rsidRPr="00AD67BC">
        <w:t>If partner(s) will provide C+ instruction, the applicant must</w:t>
      </w:r>
      <w:r w:rsidR="006B6B86">
        <w:t xml:space="preserve"> also</w:t>
      </w:r>
      <w:r w:rsidRPr="00AD67BC">
        <w:t xml:space="preserve"> attach letter(s) of commitment.</w:t>
      </w:r>
    </w:p>
    <w:p w14:paraId="5E134E2B" w14:textId="77777777" w:rsidR="00C004AE" w:rsidRPr="00C004AE" w:rsidRDefault="00AD67BC" w:rsidP="00C004AE">
      <w:r w:rsidRPr="00485F6B">
        <w:rPr>
          <w:b/>
          <w:bCs/>
        </w:rPr>
        <w:t>Slide 16</w:t>
      </w:r>
      <w:r w:rsidR="004471EF" w:rsidRPr="00485F6B">
        <w:rPr>
          <w:b/>
          <w:bCs/>
        </w:rPr>
        <w:t>:</w:t>
      </w:r>
      <w:r w:rsidR="004471EF">
        <w:t xml:space="preserve"> </w:t>
      </w:r>
      <w:r w:rsidR="00C004AE" w:rsidRPr="00C004AE">
        <w:t>The criteria that DOL will use to evaluate eligible applications for this grant are listed in section V of the FOA.</w:t>
      </w:r>
    </w:p>
    <w:p w14:paraId="25AABA43" w14:textId="77777777" w:rsidR="00C004AE" w:rsidRPr="00C004AE" w:rsidRDefault="00C004AE" w:rsidP="00C004AE">
      <w:r w:rsidRPr="00C004AE">
        <w:t>The first two criteria, Youth Labor Force Participation Rate and Poverty Rate are related to the geographic area that the applicant intends to serve, as designated by at least one zip code.</w:t>
      </w:r>
    </w:p>
    <w:p w14:paraId="21B872BC" w14:textId="77777777" w:rsidR="00C004AE" w:rsidRPr="00C004AE" w:rsidRDefault="00C004AE" w:rsidP="00C004AE">
      <w:r w:rsidRPr="00C004AE">
        <w:t xml:space="preserve">The application must provide, across all zip codes that make up the proposed area the applicant intends to serve, the weighted average youth unemployment rate and poverty rate from census.gov. For specific instructions on how to calculate this information, see Section VIII (8) of the FOA.  Applicants must provide, as an attachment, the print-out of the American Community Survey data source information used.  If applicants do not provide the print-out of the ACS data source information used, they will receive 0 points for these criteria. To assist with the weighted average calculations, applicants are </w:t>
      </w:r>
      <w:r w:rsidRPr="00C004AE">
        <w:lastRenderedPageBreak/>
        <w:t>encouraged to use the “Weighted Average Worksheet” available for download at the DOL YouthBuild website.</w:t>
      </w:r>
    </w:p>
    <w:p w14:paraId="3C165A55" w14:textId="77777777" w:rsidR="00C004AE" w:rsidRPr="00C004AE" w:rsidRDefault="00C004AE" w:rsidP="00C004AE">
      <w:r w:rsidRPr="00C004AE">
        <w:t>The remaining criteria are education, construction and other occupational skills, leadership development and community service, supportive services and post-program follow-up, partners, budget, budget narrative, and match narrative, and past performance.</w:t>
      </w:r>
    </w:p>
    <w:p w14:paraId="4587F02D" w14:textId="40944605" w:rsidR="00C004AE" w:rsidRPr="00C004AE" w:rsidRDefault="004471EF" w:rsidP="00C004AE">
      <w:r w:rsidRPr="00485F6B">
        <w:rPr>
          <w:b/>
          <w:bCs/>
        </w:rPr>
        <w:t>Slide 17:</w:t>
      </w:r>
      <w:r>
        <w:t xml:space="preserve"> </w:t>
      </w:r>
      <w:r w:rsidR="00C004AE" w:rsidRPr="00C004AE">
        <w:t xml:space="preserve">There are Two Priority consideration criteria this year. Educational Freedom and Sectoral Priorities. </w:t>
      </w:r>
    </w:p>
    <w:p w14:paraId="0B15CEA2" w14:textId="77777777" w:rsidR="00C004AE" w:rsidRPr="00C004AE" w:rsidRDefault="00C004AE" w:rsidP="00C004AE">
      <w:r w:rsidRPr="00C004AE">
        <w:t xml:space="preserve">To receive 2 points under the Educational Freedom priority consideration points, applicants must demonstrate they are a private, faith-based, or public charter school or have a partnership with one or more of the following: a private, faith-based, or public charter school that includes the provision of education services, the local school district that establishes the YouthBuild program as an alternative to compulsory secondary education, and/or a local postsecondary school (e.g., community college) that includes the opportunity for dual enrollment for participants. </w:t>
      </w:r>
    </w:p>
    <w:p w14:paraId="5EA4DFFC" w14:textId="77777777" w:rsidR="00C004AE" w:rsidRPr="00C004AE" w:rsidRDefault="00C004AE" w:rsidP="00C004AE">
      <w:r w:rsidRPr="00C004AE">
        <w:t xml:space="preserve">Under Sectoral Priorities, you can receive up to 1 point if you identify efforts that will equip participants with AI literacy skills that they will incorporation within occupational skills training, describe specific content areas of AI literacy skills that participants will be equipped with, for example understanding AI’s core concepts, describe the specific delivery strategies of the AI literacy efforts within the occupational skills training, and describe how they will track individual participant progress in gaining AI literacy skills. </w:t>
      </w:r>
    </w:p>
    <w:p w14:paraId="7631BD28" w14:textId="77777777" w:rsidR="00C004AE" w:rsidRPr="00C004AE" w:rsidRDefault="00C004AE" w:rsidP="00C004AE">
      <w:r w:rsidRPr="00C004AE">
        <w:t>And/or</w:t>
      </w:r>
    </w:p>
    <w:p w14:paraId="6D3295F9" w14:textId="77777777" w:rsidR="00C004AE" w:rsidRPr="00C004AE" w:rsidRDefault="00C004AE" w:rsidP="00C004AE">
      <w:r w:rsidRPr="00C004AE">
        <w:t xml:space="preserve">You can receive an receive up to 1 point if you identify specific shipbuilding skills, for example, pipefitting or welding, for which participants will receive training, and you must describe specific efforts that will equip participants with skills relevant in the shipbuilding industry that they will incorporate within occupational skills training. </w:t>
      </w:r>
    </w:p>
    <w:p w14:paraId="48B067C5" w14:textId="77777777" w:rsidR="00C004AE" w:rsidRPr="00C004AE" w:rsidRDefault="00C004AE" w:rsidP="00C004AE">
      <w:r w:rsidRPr="00C004AE">
        <w:t xml:space="preserve">So under Sectoral Priorities if you meet one of those priorities, you can receive 1 point, if you meet both priorities you can receive 2 points. </w:t>
      </w:r>
    </w:p>
    <w:p w14:paraId="603ABD0E" w14:textId="4A069DA4" w:rsidR="00BA3F2E" w:rsidRPr="00BA3F2E" w:rsidRDefault="00C004AE" w:rsidP="00C004AE">
      <w:r w:rsidRPr="00C004AE">
        <w:t xml:space="preserve">The second priority consideration criteria this year is educational freedom. </w:t>
      </w:r>
      <w:r w:rsidR="00BA3F2E" w:rsidRPr="00BA3F2E">
        <w:t xml:space="preserve"> </w:t>
      </w:r>
    </w:p>
    <w:p w14:paraId="3F61196E" w14:textId="48739BC6" w:rsidR="009F605E" w:rsidRPr="009F605E" w:rsidRDefault="009F605E" w:rsidP="00BA3F2E">
      <w:r w:rsidRPr="00485F6B">
        <w:rPr>
          <w:b/>
          <w:bCs/>
        </w:rPr>
        <w:t>Slide 18:</w:t>
      </w:r>
      <w:r>
        <w:t xml:space="preserve"> </w:t>
      </w:r>
      <w:r w:rsidRPr="009F605E">
        <w:t xml:space="preserve">Please </w:t>
      </w:r>
      <w:r w:rsidR="009D695E">
        <w:t xml:space="preserve">a </w:t>
      </w:r>
      <w:r w:rsidRPr="009F605E">
        <w:t>take look at these additional resources that we have provided:</w:t>
      </w:r>
    </w:p>
    <w:p w14:paraId="0B196509" w14:textId="77777777" w:rsidR="009F605E" w:rsidRPr="009F605E" w:rsidRDefault="009F605E" w:rsidP="00485F6B">
      <w:pPr>
        <w:pStyle w:val="ListParagraph"/>
        <w:numPr>
          <w:ilvl w:val="0"/>
          <w:numId w:val="25"/>
        </w:numPr>
      </w:pPr>
      <w:r w:rsidRPr="009F605E">
        <w:t>The Workforce innovation and Opportunity Act (WIOA) web page which includes links to WIOA statute, laws, regulations, and current operational guidance.</w:t>
      </w:r>
    </w:p>
    <w:p w14:paraId="6845B61A" w14:textId="77777777" w:rsidR="009F605E" w:rsidRPr="009F605E" w:rsidRDefault="009F605E" w:rsidP="00485F6B">
      <w:pPr>
        <w:pStyle w:val="ListParagraph"/>
        <w:numPr>
          <w:ilvl w:val="0"/>
          <w:numId w:val="25"/>
        </w:numPr>
      </w:pPr>
      <w:r w:rsidRPr="009F605E">
        <w:t>YouthBuild regulations</w:t>
      </w:r>
    </w:p>
    <w:p w14:paraId="5567E740" w14:textId="572C59FE" w:rsidR="009F605E" w:rsidRPr="009F605E" w:rsidRDefault="009F605E" w:rsidP="00485F6B">
      <w:pPr>
        <w:pStyle w:val="ListParagraph"/>
        <w:numPr>
          <w:ilvl w:val="0"/>
          <w:numId w:val="25"/>
        </w:numPr>
      </w:pPr>
      <w:r w:rsidRPr="009F605E">
        <w:t xml:space="preserve">The DOL YouthBuild Website which has program descriptions on what current programs </w:t>
      </w:r>
      <w:r w:rsidR="00850E2B">
        <w:t>might be</w:t>
      </w:r>
      <w:r w:rsidRPr="009F605E">
        <w:t xml:space="preserve"> in your area and what Construction Plus industries they are in, the 9143 form, and the weighted average worksheet. </w:t>
      </w:r>
    </w:p>
    <w:p w14:paraId="0E1F59FF" w14:textId="77777777" w:rsidR="009F605E" w:rsidRPr="009F605E" w:rsidRDefault="009F605E" w:rsidP="00485F6B">
      <w:pPr>
        <w:pStyle w:val="ListParagraph"/>
        <w:numPr>
          <w:ilvl w:val="0"/>
          <w:numId w:val="25"/>
        </w:numPr>
      </w:pPr>
      <w:r w:rsidRPr="009F605E">
        <w:t>DOL YouthBuild Advisories Summary which includes YouthBuild Related Training and Employment Guidance and Letters and Training and Employment Notices.</w:t>
      </w:r>
    </w:p>
    <w:p w14:paraId="63CC33A6" w14:textId="77777777" w:rsidR="009F605E" w:rsidRDefault="009F605E" w:rsidP="00485F6B">
      <w:pPr>
        <w:pStyle w:val="ListParagraph"/>
        <w:numPr>
          <w:ilvl w:val="0"/>
          <w:numId w:val="25"/>
        </w:numPr>
      </w:pPr>
      <w:r w:rsidRPr="009F605E">
        <w:t xml:space="preserve">And lastly, a link to Sam.gov. </w:t>
      </w:r>
    </w:p>
    <w:p w14:paraId="31274440" w14:textId="78D7DA21" w:rsidR="009F605E" w:rsidRDefault="009F605E" w:rsidP="009F605E">
      <w:r w:rsidRPr="00485F6B">
        <w:rPr>
          <w:b/>
          <w:bCs/>
        </w:rPr>
        <w:lastRenderedPageBreak/>
        <w:t>Slide 19:</w:t>
      </w:r>
      <w:r>
        <w:t xml:space="preserve"> </w:t>
      </w:r>
      <w:r w:rsidR="002A5E22" w:rsidRPr="002A5E22">
        <w:t xml:space="preserve">Now I’ll turn it over to </w:t>
      </w:r>
      <w:r w:rsidR="002A5E22">
        <w:t>Alec</w:t>
      </w:r>
      <w:r w:rsidR="002A5E22" w:rsidRPr="002A5E22">
        <w:t xml:space="preserve"> for the Budget and Match Requirements section.</w:t>
      </w:r>
    </w:p>
    <w:p w14:paraId="06B152BC" w14:textId="77777777" w:rsidR="00C004AE" w:rsidRPr="00C004AE" w:rsidRDefault="00B32FB2" w:rsidP="00C004AE">
      <w:r w:rsidRPr="00485F6B">
        <w:rPr>
          <w:b/>
          <w:bCs/>
        </w:rPr>
        <w:t>Slide 20:</w:t>
      </w:r>
      <w:r>
        <w:t xml:space="preserve"> </w:t>
      </w:r>
      <w:r w:rsidR="00C004AE" w:rsidRPr="00C004AE">
        <w:t xml:space="preserve">To put together a complete budget for the YouthBuild competition you will need to submit an SF-424, Application for Federal Assistance; SF-424A Budget Information Form; a Project Budget; a Match Narrative; and a Negotiated Indirect Cost Rate Agreement (if applicable). </w:t>
      </w:r>
    </w:p>
    <w:p w14:paraId="5BBFAB1F" w14:textId="77777777" w:rsidR="00C004AE" w:rsidRPr="00C004AE" w:rsidRDefault="00C004AE" w:rsidP="00C004AE">
      <w:r w:rsidRPr="00C004AE">
        <w:t xml:space="preserve">On the SF-424, box 18 “Estimated funding” needs to be completed. You need to list here the amount of federal funds you are applying for—this should be between $1 million and $2 million dollars and the 25% match amount requirement, and TOTAL (total federal funds requested plus the 25% match). DO NOT INCLUDE leveraged resources here!  I will  further go over this section of the SF-424 with you on the next slide. </w:t>
      </w:r>
    </w:p>
    <w:p w14:paraId="6314A046" w14:textId="77777777" w:rsidR="00C004AE" w:rsidRPr="00C004AE" w:rsidRDefault="00C004AE" w:rsidP="00C004AE">
      <w:r w:rsidRPr="00C004AE">
        <w:t xml:space="preserve">The SF-424A consists of Sections A through F.  Section A needs to contain only the federal amount you are requesting. Section B needs to include line item totals for each cost category listed on page 2, and these totals need to correspond to your Budget Narrative.  Section C needs to contain the 25% match amount. </w:t>
      </w:r>
    </w:p>
    <w:p w14:paraId="2955795E" w14:textId="77777777" w:rsidR="00C004AE" w:rsidRPr="00C004AE" w:rsidRDefault="00C004AE" w:rsidP="00C004AE">
      <w:r w:rsidRPr="00C004AE">
        <w:t xml:space="preserve">The Budget Narrative expands on the cost categories included in the SF-424A to show an itemized list and description of costs within each category adding up to the total for the cost category. Please note that constructions costs should not be recorded on the SF-424A. Allowable construction costs incurred under the YouthBuild award should be recorded in the Other or Contractual line items as appropriate, since DOL-ETA sees these costs as primarily for instruction and training of participants. The construction line should be left blank on your SF-424A AND Budget Narrative. </w:t>
      </w:r>
    </w:p>
    <w:p w14:paraId="4F1DE01E" w14:textId="77777777" w:rsidR="00C004AE" w:rsidRPr="00C004AE" w:rsidRDefault="00C004AE" w:rsidP="00C004AE">
      <w:r w:rsidRPr="00C004AE">
        <w:t>Your budget may also contain indirect costs. Indirect costs may be claimed through a Negotiated Indirect Cost Rate Agreement (a NICRA) or Cost Allocation Plan (a CAP) that is signed by your cognizant agency. If your organization does not have a current NICRA or CAP, then your organization may be able to claim up to 15% of Modified Total Direct Cost under the de minimis rate. Please see 2 CFR 200.68 and the FOA for more information on the de minimis rate. Concerning indirect costs, the budget narrative should include the total amount of indirect costs claimed and show the method and calculation that was used to reach the total. Your budget narrative does not need to include an itemized list of costs for the indirect cost category.</w:t>
      </w:r>
    </w:p>
    <w:p w14:paraId="482BB7FD" w14:textId="77777777" w:rsidR="00C004AE" w:rsidRPr="00C004AE" w:rsidRDefault="00C004AE" w:rsidP="00C004AE">
      <w:r w:rsidRPr="00C004AE">
        <w:t>Next, we will explore match and the match narrative in the next several slides.</w:t>
      </w:r>
    </w:p>
    <w:p w14:paraId="1EA33612" w14:textId="503E3DA0" w:rsidR="002F6DD1" w:rsidRPr="002F6DD1" w:rsidRDefault="002F6DD1" w:rsidP="00C004AE">
      <w:r w:rsidRPr="00485F6B">
        <w:rPr>
          <w:b/>
          <w:bCs/>
        </w:rPr>
        <w:t>Slide 21:</w:t>
      </w:r>
      <w:r>
        <w:t xml:space="preserve"> </w:t>
      </w:r>
      <w:r w:rsidRPr="002F6DD1">
        <w:t xml:space="preserve">Here’s an example of the SF-424, box 18.  Box 18 a should include the total federal funding request. The 25% match amount you are contributing goes in boxes b-e dependent on where the funds are sourced from.  Leave box f blank. Box g should have the total of the federal funding plus the 25% match amount. Again, do not include leveraged resources here.  You can include leveraged resources in the Budget Narrative. </w:t>
      </w:r>
    </w:p>
    <w:p w14:paraId="5D42385E" w14:textId="77777777" w:rsidR="002F6DD1" w:rsidRPr="002F6DD1" w:rsidRDefault="002F6DD1" w:rsidP="002F6DD1">
      <w:r w:rsidRPr="00485F6B">
        <w:rPr>
          <w:b/>
          <w:bCs/>
        </w:rPr>
        <w:t>Slide 22:</w:t>
      </w:r>
      <w:r>
        <w:t xml:space="preserve"> </w:t>
      </w:r>
      <w:r w:rsidRPr="002F6DD1">
        <w:t xml:space="preserve">And here is an example of an SF-424A, Section C that shows a 25% match, in row “8”; appropriate columns are filled in, either “b”, “c”, and/or “d” dependent on the source of the funds, and row “e” should have the total of the match amount. </w:t>
      </w:r>
    </w:p>
    <w:p w14:paraId="1E4B1AA2" w14:textId="507956E6" w:rsidR="002F6DD1" w:rsidRDefault="002F6DD1" w:rsidP="002F6DD1">
      <w:r w:rsidRPr="002F6DD1">
        <w:lastRenderedPageBreak/>
        <w:t xml:space="preserve">This is important to note because the SF-424 and SF-424A, Section C are key sections that are reviewed when applications are pre-screened for the 25% match requirement.  </w:t>
      </w:r>
    </w:p>
    <w:p w14:paraId="46296240" w14:textId="77777777" w:rsidR="0052422C" w:rsidRPr="0052422C" w:rsidRDefault="002F6DD1" w:rsidP="0052422C">
      <w:r w:rsidRPr="00485F6B">
        <w:rPr>
          <w:b/>
          <w:bCs/>
        </w:rPr>
        <w:t>Slide 23</w:t>
      </w:r>
      <w:r>
        <w:t xml:space="preserve">: </w:t>
      </w:r>
      <w:r w:rsidR="0052422C" w:rsidRPr="0052422C">
        <w:t xml:space="preserve">YouthBuild grants require cost sharing or matching funds equaling 25 percent of the total Federal funding award. </w:t>
      </w:r>
    </w:p>
    <w:p w14:paraId="3CAB1940" w14:textId="77777777" w:rsidR="0052422C" w:rsidRPr="0052422C" w:rsidRDefault="0052422C" w:rsidP="0052422C">
      <w:r w:rsidRPr="0052422C">
        <w:t xml:space="preserve">Any contributed resources above the 25 percent will be considered leveraged resources and should be described separately in your budget narrative. They should not be described in the Match Narrative. </w:t>
      </w:r>
    </w:p>
    <w:p w14:paraId="0AF48A97" w14:textId="77777777" w:rsidR="0052422C" w:rsidRPr="0052422C" w:rsidRDefault="0052422C" w:rsidP="0052422C">
      <w:r w:rsidRPr="0052422C">
        <w:t>For the contribution to be considered match, the use of those funds must be treated as if they are federal funds, meaning they must be necessary and reasonable to the project.</w:t>
      </w:r>
    </w:p>
    <w:p w14:paraId="411BA3CD" w14:textId="02888527" w:rsidR="002F6DD1" w:rsidRDefault="0052422C" w:rsidP="0052422C">
      <w:r w:rsidRPr="0052422C">
        <w:t xml:space="preserve">For the purposes of this FOA, DOL does not require any match for grants made to the governments of American Samoa, Guam, the U.S. Virgin Islands, and the Commonwealth of the Northern Mariana Islands. It also does not require any match for grants made to Indian and Native American entities eligible for grants under Sec. 166 of WIOA, including federally and other than </w:t>
      </w:r>
      <w:r w:rsidR="00735DFD" w:rsidRPr="0052422C">
        <w:t>federally recognized</w:t>
      </w:r>
      <w:r w:rsidRPr="0052422C">
        <w:t xml:space="preserve"> Tribes, Native American non-profit organizations, and Native Hawaiian and Alaska Native organizations. Accordingly, DOL does not require these areas to include a match commitment in their applications, and DOL will not screen out these applications on that basis. However, even though DOL does not require matching funds from these areas, it encourages these areas to leverage resources, including dollars from federal sources.</w:t>
      </w:r>
    </w:p>
    <w:p w14:paraId="400A2BD0" w14:textId="77777777" w:rsidR="0052422C" w:rsidRPr="0052422C" w:rsidRDefault="0052422C" w:rsidP="0052422C">
      <w:r w:rsidRPr="00485F6B">
        <w:rPr>
          <w:b/>
          <w:bCs/>
        </w:rPr>
        <w:t>Slide 24:</w:t>
      </w:r>
      <w:r>
        <w:t xml:space="preserve"> </w:t>
      </w:r>
      <w:r w:rsidRPr="0052422C">
        <w:t>So, what is match?</w:t>
      </w:r>
    </w:p>
    <w:p w14:paraId="6139B919" w14:textId="52B5A61C" w:rsidR="0052422C" w:rsidRPr="0052422C" w:rsidRDefault="0052422C" w:rsidP="0052422C">
      <w:r w:rsidRPr="0052422C">
        <w:t>Well, it’s the portion of the project costs not paid by federal funds, (unless otherwise authorized by Federal statute). For a more detailed definition of match, please read 2 CFR 200.306.</w:t>
      </w:r>
    </w:p>
    <w:p w14:paraId="488C621F" w14:textId="7E7EDA22" w:rsidR="0052422C" w:rsidRDefault="0052422C" w:rsidP="0052422C">
      <w:r w:rsidRPr="0052422C">
        <w:t>Here is a visual to clarify the differences between match and leveraged resources. Both match and leveraged resources should contribute to the objective of the grant. However, match is required by statute, the FOA, and the grant agreement. Leveraged resources are not required. For YouthBuild, 25% of the grant award amount is required as match. Leveraged funding is anything in excess of the 25% and is not required.</w:t>
      </w:r>
    </w:p>
    <w:p w14:paraId="0709C37F" w14:textId="77777777" w:rsidR="00535DCF" w:rsidRPr="00535DCF" w:rsidRDefault="0052422C" w:rsidP="00535DCF">
      <w:r w:rsidRPr="00485F6B">
        <w:rPr>
          <w:b/>
          <w:bCs/>
        </w:rPr>
        <w:t>Slide 25:</w:t>
      </w:r>
      <w:r>
        <w:t xml:space="preserve"> </w:t>
      </w:r>
      <w:r w:rsidR="00535DCF" w:rsidRPr="00535DCF">
        <w:t>What makes match allowable?</w:t>
      </w:r>
    </w:p>
    <w:p w14:paraId="1C9D94A3" w14:textId="048405E1" w:rsidR="00535DCF" w:rsidRPr="00535DCF" w:rsidRDefault="00535DCF" w:rsidP="00535DCF">
      <w:r w:rsidRPr="00535DCF">
        <w:t xml:space="preserve">Matched funding needs to be expended and </w:t>
      </w:r>
      <w:r w:rsidR="009914F7" w:rsidRPr="00535DCF">
        <w:t>needs</w:t>
      </w:r>
      <w:r w:rsidRPr="00535DCF">
        <w:t xml:space="preserve"> to be used for the project to count towards the 25% minimum match amount.   This means that what match is used on—the individual items of cost and resources—are held to the same standard of quality and review that your Federal dollars are spent on. These restrictions include:</w:t>
      </w:r>
    </w:p>
    <w:p w14:paraId="645BFF37" w14:textId="77777777" w:rsidR="00535DCF" w:rsidRPr="00535DCF" w:rsidRDefault="00535DCF" w:rsidP="00535DCF">
      <w:r w:rsidRPr="00535DCF">
        <w:t xml:space="preserve">Match expenditures need to be necessary and reasonable to accomplish YouthBuild objectives. </w:t>
      </w:r>
    </w:p>
    <w:p w14:paraId="385ABE31" w14:textId="77777777" w:rsidR="00535DCF" w:rsidRPr="00535DCF" w:rsidRDefault="00535DCF" w:rsidP="00535DCF">
      <w:r w:rsidRPr="00535DCF">
        <w:t xml:space="preserve">Match expenditures need to be allocable to YouthBuild cost objectives and in line with Federal funding requirements and limitations. </w:t>
      </w:r>
    </w:p>
    <w:p w14:paraId="5E95B25D" w14:textId="5EE6CA6F" w:rsidR="0052422C" w:rsidRDefault="00535DCF" w:rsidP="00535DCF">
      <w:r w:rsidRPr="00535DCF">
        <w:t xml:space="preserve">I will reiterate, match funding has the same expenditure restrictions as the federal dollar. SO, if the cost would not be allowable as a grant-funded charge, then it is likely not an allowable match </w:t>
      </w:r>
      <w:r w:rsidR="001B7C61" w:rsidRPr="00535DCF">
        <w:t>expenditure.</w:t>
      </w:r>
    </w:p>
    <w:p w14:paraId="4AFD7492" w14:textId="77777777" w:rsidR="00535DCF" w:rsidRPr="00535DCF" w:rsidRDefault="00535DCF" w:rsidP="00535DCF">
      <w:r w:rsidRPr="00485F6B">
        <w:rPr>
          <w:b/>
          <w:bCs/>
        </w:rPr>
        <w:lastRenderedPageBreak/>
        <w:t>Slide 26:</w:t>
      </w:r>
      <w:r>
        <w:t xml:space="preserve"> </w:t>
      </w:r>
      <w:r w:rsidRPr="00535DCF">
        <w:t xml:space="preserve">To ensure that the 25% match meets Federal requirements, the DOL is requiring applicants to submit a Match Narrative with the application. Not submitting a match narrative will result in disqualification. </w:t>
      </w:r>
    </w:p>
    <w:p w14:paraId="786DE877" w14:textId="77777777" w:rsidR="00535DCF" w:rsidRPr="00535DCF" w:rsidRDefault="00535DCF" w:rsidP="00535DCF">
      <w:r w:rsidRPr="00535DCF">
        <w:t xml:space="preserve">The Match Narrative must include the total amount contributed to the project as match. The narrative must show the origin of the match and must also specify that the match is not from a Federal source. The match narrative needs to also show where the match is going to be expended or utilized within the project. Applicants should provide a budget for the match, similar to the budget narrative. For each item of cost, the narrative should show whether the match is cash or in-kind. For in-kind match, the narrative should show some indication of the valuation process to ensure it is reasonable. </w:t>
      </w:r>
    </w:p>
    <w:p w14:paraId="54BEAD03" w14:textId="2B7C1EDC" w:rsidR="00535DCF" w:rsidRDefault="00535DCF" w:rsidP="00535DCF">
      <w:r w:rsidRPr="00535DCF">
        <w:t>Please note that in the case that your application is selected as an awardee, the Match Narrative will undergo a rigorous review to ensure that sources, expenditures, and valuation procedures are consistent with Federal standards.</w:t>
      </w:r>
    </w:p>
    <w:p w14:paraId="695CFFB5" w14:textId="77777777" w:rsidR="0060019D" w:rsidRPr="0060019D" w:rsidRDefault="00535DCF" w:rsidP="0060019D">
      <w:r w:rsidRPr="00485F6B">
        <w:rPr>
          <w:b/>
          <w:bCs/>
        </w:rPr>
        <w:t>Slide 27:</w:t>
      </w:r>
      <w:r>
        <w:t xml:space="preserve"> </w:t>
      </w:r>
      <w:r w:rsidR="0060019D" w:rsidRPr="0060019D">
        <w:t xml:space="preserve">DOL recently amended its Exceptions to the Uniform Guidance located at 2 CFR 2900. We amended part 8 to specify that for funding to be counted as match, it must be expended on program activities.  It is no longer acceptable for resources to be committed and received—match must be expended. </w:t>
      </w:r>
    </w:p>
    <w:p w14:paraId="639A95A5" w14:textId="2FCAAD14" w:rsidR="00535DCF" w:rsidRDefault="0060019D" w:rsidP="0060019D">
      <w:r w:rsidRPr="0060019D">
        <w:t>Please see 2 CFR 2900.8 for additional information.</w:t>
      </w:r>
    </w:p>
    <w:p w14:paraId="74F5CF43" w14:textId="77777777" w:rsidR="0060019D" w:rsidRPr="0060019D" w:rsidRDefault="0060019D" w:rsidP="0060019D">
      <w:r w:rsidRPr="00485F6B">
        <w:rPr>
          <w:b/>
          <w:bCs/>
        </w:rPr>
        <w:t>Slide 28:</w:t>
      </w:r>
      <w:r>
        <w:t xml:space="preserve"> </w:t>
      </w:r>
      <w:r w:rsidRPr="0060019D">
        <w:t>So what kinds of match would we expect to see on your match narrative?</w:t>
      </w:r>
    </w:p>
    <w:p w14:paraId="15D1CF53" w14:textId="151D34C7" w:rsidR="0060019D" w:rsidRDefault="0060019D" w:rsidP="0060019D">
      <w:r w:rsidRPr="0060019D">
        <w:t>Equipment and supplies that are expended, but not paid for with the grant funds could be considered match. Work sites not paid for using Federal funds could be used as match. Please note here that the match value can only be the portion of the property or unit of housing actually used for training YouthBuild participants. Personal services could count as match, as long as their time is not paid for using Federal funds.</w:t>
      </w:r>
    </w:p>
    <w:p w14:paraId="0F5ED416" w14:textId="6FCF34C2" w:rsidR="0060019D" w:rsidRDefault="0060019D" w:rsidP="0060019D">
      <w:r w:rsidRPr="00485F6B">
        <w:rPr>
          <w:b/>
          <w:bCs/>
        </w:rPr>
        <w:t xml:space="preserve">Slide </w:t>
      </w:r>
      <w:r w:rsidR="00227454" w:rsidRPr="00485F6B">
        <w:rPr>
          <w:b/>
          <w:bCs/>
        </w:rPr>
        <w:t>29:</w:t>
      </w:r>
      <w:r w:rsidR="00227454">
        <w:t xml:space="preserve"> </w:t>
      </w:r>
      <w:r w:rsidR="00227454" w:rsidRPr="00227454">
        <w:t>Here is how you differentiate rates for personal services of those performing their job, provided the services employ the same skills. An employee is to be valued at the employee’s regular rate. A volunteer’s time may be counted as cost sharing or matching if the service is a crucial and necessary part of an approved project or program. Rate of pay must be consistent with those doing similar work in the labor market.</w:t>
      </w:r>
    </w:p>
    <w:p w14:paraId="5C3803E3" w14:textId="2DC6F7AA" w:rsidR="00F42391" w:rsidRDefault="00227454" w:rsidP="00F42391">
      <w:r w:rsidRPr="00485F6B">
        <w:rPr>
          <w:b/>
          <w:bCs/>
        </w:rPr>
        <w:t>Slide 30:</w:t>
      </w:r>
      <w:r>
        <w:t xml:space="preserve"> </w:t>
      </w:r>
      <w:r w:rsidR="00F42391">
        <w:t xml:space="preserve">The valuation process of an </w:t>
      </w:r>
      <w:r w:rsidR="009652FB">
        <w:t>in-kind</w:t>
      </w:r>
      <w:r w:rsidR="00F42391">
        <w:t xml:space="preserve"> match includes determining the fair market value of an expenditure at the time of donation, appraising donated space and buildings, and determining the value of personal services.</w:t>
      </w:r>
    </w:p>
    <w:p w14:paraId="769D0F21" w14:textId="027FD086" w:rsidR="00F42391" w:rsidRDefault="00F42391" w:rsidP="00F42391">
      <w:r>
        <w:t>Calculations must be clear and replicable by reviewers. Applicants proposing to use their own nonfederal resources to provide match must also have a letter of commitment that details the same information as above.</w:t>
      </w:r>
    </w:p>
    <w:p w14:paraId="4F16E345" w14:textId="57AE1CC3" w:rsidR="00227454" w:rsidRDefault="00F42391" w:rsidP="00F42391">
      <w:r>
        <w:t>For more information, see two CFR 200</w:t>
      </w:r>
      <w:r w:rsidR="00BD275E">
        <w:t>.</w:t>
      </w:r>
      <w:r>
        <w:t>306 and 200</w:t>
      </w:r>
      <w:r w:rsidR="00BD275E">
        <w:t>.</w:t>
      </w:r>
      <w:r>
        <w:t>434. Now I'll turn it over to Melissa.</w:t>
      </w:r>
    </w:p>
    <w:p w14:paraId="64001444" w14:textId="77777777" w:rsidR="00254175" w:rsidRPr="00254175" w:rsidRDefault="00254175" w:rsidP="00254175">
      <w:r w:rsidRPr="00485F6B">
        <w:rPr>
          <w:b/>
          <w:bCs/>
        </w:rPr>
        <w:t>Slide 31:</w:t>
      </w:r>
      <w:r>
        <w:t xml:space="preserve"> </w:t>
      </w:r>
      <w:r w:rsidRPr="00254175">
        <w:t xml:space="preserve">Thanks Alec. Here are two examples of funding sources that would not qualify as match. </w:t>
      </w:r>
    </w:p>
    <w:p w14:paraId="72165EB9" w14:textId="77777777" w:rsidR="00254175" w:rsidRPr="00254175" w:rsidRDefault="00254175" w:rsidP="00254175">
      <w:r w:rsidRPr="00254175">
        <w:lastRenderedPageBreak/>
        <w:t xml:space="preserve">For the first example, an applicant lists the entire value of a home as its in-kind match. However, only the portion of a work site that involves the direct training of participants can be applied towards match. </w:t>
      </w:r>
    </w:p>
    <w:p w14:paraId="5F3CE03B" w14:textId="77777777" w:rsidR="00254175" w:rsidRPr="00254175" w:rsidRDefault="00254175" w:rsidP="00254175">
      <w:r w:rsidRPr="00254175">
        <w:t xml:space="preserve">In the second example, an applicant has listed Federal funds as its match source because the organization has not received these funds directly from the Federal agency. However, this is unallowable.  These funds are still federal in source. You are responsible for knowing the original source of the funding, even if you receive funding that is passed through another agency. </w:t>
      </w:r>
    </w:p>
    <w:p w14:paraId="1D2E1770" w14:textId="03D52214" w:rsidR="00254175" w:rsidRDefault="00254175" w:rsidP="0060019D">
      <w:r w:rsidRPr="00254175">
        <w:t>Please see the FOA for additional examples of non-qualifying match.</w:t>
      </w:r>
    </w:p>
    <w:p w14:paraId="41FC002C" w14:textId="31B1EA16" w:rsidR="00A53B5E" w:rsidRPr="00A53B5E" w:rsidRDefault="00254175" w:rsidP="00A53B5E">
      <w:r w:rsidRPr="00485F6B">
        <w:rPr>
          <w:b/>
          <w:bCs/>
        </w:rPr>
        <w:t>Slide 32:</w:t>
      </w:r>
      <w:r>
        <w:t xml:space="preserve"> </w:t>
      </w:r>
      <w:r w:rsidR="00A53B5E" w:rsidRPr="00A53B5E">
        <w:t>In addition to the match narrative, there is another way that match must be documented! That is through</w:t>
      </w:r>
      <w:r w:rsidR="00F0580B">
        <w:t xml:space="preserve"> the</w:t>
      </w:r>
      <w:r w:rsidR="00A53B5E" w:rsidRPr="00A53B5E">
        <w:t xml:space="preserve"> letters of commitment. </w:t>
      </w:r>
    </w:p>
    <w:p w14:paraId="7B9F7A70" w14:textId="77777777" w:rsidR="00A53B5E" w:rsidRPr="00A53B5E" w:rsidRDefault="00A53B5E" w:rsidP="00A53B5E">
      <w:r w:rsidRPr="00A53B5E">
        <w:t>Letters of commitment must be signed, on letterhead, dated between the date of this FOA’s publication and application deadline, AND detail the commitment amount and how it was calculated.</w:t>
      </w:r>
    </w:p>
    <w:p w14:paraId="30290E74" w14:textId="77777777" w:rsidR="00A53B5E" w:rsidRDefault="00A53B5E" w:rsidP="00A53B5E">
      <w:r w:rsidRPr="00A53B5E">
        <w:t>Calculations must be clear and able to be replicated by reviewers.  Applicants proposing to use their own non-Federal resources to provide match must ALSO have a letter of commitment that details the same information as above.</w:t>
      </w:r>
    </w:p>
    <w:p w14:paraId="7F72DF57" w14:textId="77777777" w:rsidR="00A53B5E" w:rsidRPr="00A53B5E" w:rsidRDefault="00A53B5E" w:rsidP="00A53B5E">
      <w:r w:rsidRPr="00485F6B">
        <w:rPr>
          <w:b/>
          <w:bCs/>
        </w:rPr>
        <w:t>Slide 33:</w:t>
      </w:r>
      <w:r>
        <w:t xml:space="preserve"> </w:t>
      </w:r>
      <w:r w:rsidRPr="00A53B5E">
        <w:t>In the FOA we give some examples on how to document match within the letters of commitment. Please feel free to pass these examples on to your partners contributing match.</w:t>
      </w:r>
    </w:p>
    <w:p w14:paraId="74EF1007" w14:textId="77777777" w:rsidR="00A53B5E" w:rsidRPr="00A53B5E" w:rsidRDefault="00A53B5E" w:rsidP="00A53B5E">
      <w:r w:rsidRPr="00A53B5E">
        <w:t>To calculate match based on the number of participants served: take the number of participants enrolled (multiplied by) the cost per participant per year (multiplied by) the number of years, to get the total commitment.</w:t>
      </w:r>
    </w:p>
    <w:p w14:paraId="7FAC1BD4" w14:textId="1246CD77" w:rsidR="00A53B5E" w:rsidRDefault="00A53B5E" w:rsidP="00A53B5E">
      <w:r w:rsidRPr="00A53B5E">
        <w:t>For example, a community college is committing 10 seats per year in a computer programming class. The match letter from the community college is contributing 10 seats at $500 per seat for two years for a total commitment of 10 thousand dollars.</w:t>
      </w:r>
    </w:p>
    <w:p w14:paraId="65A92B36" w14:textId="77777777" w:rsidR="00155234" w:rsidRPr="00155234" w:rsidRDefault="00A53B5E" w:rsidP="00155234">
      <w:r w:rsidRPr="00485F6B">
        <w:rPr>
          <w:b/>
          <w:bCs/>
        </w:rPr>
        <w:t>Slide 34:</w:t>
      </w:r>
      <w:r w:rsidR="00155234">
        <w:t xml:space="preserve"> </w:t>
      </w:r>
      <w:r w:rsidR="00155234" w:rsidRPr="00155234">
        <w:t>Here is an example of how to calculate the match based on staff time. You will need to show the number of hours, the hourly rate, and the years of commitment.</w:t>
      </w:r>
    </w:p>
    <w:p w14:paraId="2096017A" w14:textId="1AEF24B6" w:rsidR="00A53B5E" w:rsidRDefault="00155234" w:rsidP="00A53B5E">
      <w:r w:rsidRPr="00155234">
        <w:t>In this example, the applicant is committing to donating 20% of the executive director’s time over the life of the grant to th</w:t>
      </w:r>
      <w:r w:rsidR="00D35979">
        <w:t>is</w:t>
      </w:r>
      <w:r w:rsidRPr="00155234">
        <w:t xml:space="preserve"> project. The letter of commitment should read: 20% of Executive Director’s salary multiplied by her or his total salary, 75 thousand dollars per year, multiplied by 3 years equals a total match commitment of 45 thousand dollars. </w:t>
      </w:r>
    </w:p>
    <w:p w14:paraId="6CC0DEA4" w14:textId="77777777" w:rsidR="00155234" w:rsidRPr="00155234" w:rsidRDefault="00155234" w:rsidP="00155234">
      <w:r w:rsidRPr="00485F6B">
        <w:rPr>
          <w:b/>
          <w:bCs/>
        </w:rPr>
        <w:t>Slide 35:</w:t>
      </w:r>
      <w:r>
        <w:t xml:space="preserve"> </w:t>
      </w:r>
      <w:r w:rsidRPr="00155234">
        <w:t>And here is a resource-based match example.</w:t>
      </w:r>
    </w:p>
    <w:p w14:paraId="3E2A2207" w14:textId="77777777" w:rsidR="00155234" w:rsidRPr="00155234" w:rsidRDefault="00155234" w:rsidP="00155234">
      <w:r w:rsidRPr="00155234">
        <w:t>To calculate resource-based match, such as donated office space, you take the monthly rate (multiplied by) the number of months (multiplied by) the years of commitment.</w:t>
      </w:r>
    </w:p>
    <w:p w14:paraId="71684879" w14:textId="77777777" w:rsidR="00155234" w:rsidRDefault="00155234" w:rsidP="00155234">
      <w:r w:rsidRPr="00155234">
        <w:t>If an organization is committing office space for the YouthBuild program, then their letter of commitment should read: 800 square feet of office multiplied by 2 dollars per square foot multiplied by 12 months multiplied by 3 years for a total match amount of 57,600 dollars.</w:t>
      </w:r>
    </w:p>
    <w:p w14:paraId="71B48AFA" w14:textId="7607250D" w:rsidR="0000315A" w:rsidRPr="0000315A" w:rsidRDefault="00155234" w:rsidP="0000315A">
      <w:r w:rsidRPr="00485F6B">
        <w:rPr>
          <w:b/>
          <w:bCs/>
        </w:rPr>
        <w:lastRenderedPageBreak/>
        <w:t>Slide 36:</w:t>
      </w:r>
      <w:r>
        <w:t xml:space="preserve"> </w:t>
      </w:r>
      <w:r w:rsidR="0000315A" w:rsidRPr="0000315A">
        <w:t xml:space="preserve">There are quite a few attachments that applicants are requested to provide, whereby omission of these requested attachments will not cause us to screen out the application.  However, I want to call your attention to one of those requested </w:t>
      </w:r>
      <w:r w:rsidR="00915A05" w:rsidRPr="0000315A">
        <w:t>attachments</w:t>
      </w:r>
      <w:r w:rsidR="0000315A" w:rsidRPr="0000315A">
        <w:t xml:space="preserve">. This is the </w:t>
      </w:r>
      <w:r w:rsidR="00485F6B" w:rsidRPr="0000315A">
        <w:t xml:space="preserve">Financial System Risk Assessment </w:t>
      </w:r>
      <w:r w:rsidR="0000315A" w:rsidRPr="0000315A">
        <w:t xml:space="preserve">located under the “Review and Selection Process” heading in the FOA. We prefer that applicants use this template; however, applicants can answer the questions in a separate attachment.  </w:t>
      </w:r>
    </w:p>
    <w:p w14:paraId="36447FFF" w14:textId="34BADA84" w:rsidR="0000315A" w:rsidRPr="0000315A" w:rsidRDefault="0000315A" w:rsidP="0000315A">
      <w:r w:rsidRPr="0000315A">
        <w:t xml:space="preserve">The Financial System Risk Assessment </w:t>
      </w:r>
      <w:r w:rsidR="008A6B79" w:rsidRPr="0000315A">
        <w:t>document is</w:t>
      </w:r>
      <w:r w:rsidRPr="0000315A">
        <w:t xml:space="preserve"> a self-assessment of your financial systems for the purpose of managing Federal grants.  Department of Labor, Employment and Training Administration will use this document to assess the applicant’s Financial System.  To demonstrate that applicants have the fiscal expertise to properly manage a federal grant, all applicants are requested to submit this form with their grant application or answer these questions in an attachment. The information you provide will be taken into account as one component of DOL/ETA’s Risk Review Process.  </w:t>
      </w:r>
    </w:p>
    <w:p w14:paraId="2391451B" w14:textId="4CE0009C" w:rsidR="00155234" w:rsidRDefault="0000315A" w:rsidP="0000315A">
      <w:r w:rsidRPr="0000315A">
        <w:t xml:space="preserve">Does the applicant have adequate administrative and financial systems in place, including accounting systems that meet the criteria contained in Title 2 Code of Federal Regulations Part 200 (or Uniform Guidance in short) and the U.S. Department of Labor's adoption of the Uniform Guidance at 2 CFR 2900, to properly manage a Federal grant? It is unlikely that an organization will be able to manage a Federal grant without the noted systems and processes in place.   Without this information or if the form is incomplete, if selected for award, a condition will be placed on your award and grantees will be placed on drawdown restriction if the document is not filled in completely.  Be sure that this form is submitted as accurately and </w:t>
      </w:r>
      <w:r w:rsidR="00A60B88" w:rsidRPr="0000315A">
        <w:t>completely</w:t>
      </w:r>
      <w:r w:rsidRPr="0000315A">
        <w:t xml:space="preserve"> as possible so there is no delay in implementing allowable activities under the grant.    </w:t>
      </w:r>
    </w:p>
    <w:p w14:paraId="748ADD77" w14:textId="2EC09A61" w:rsidR="0000315A" w:rsidRDefault="008A4602" w:rsidP="0000315A">
      <w:r w:rsidRPr="00485F6B">
        <w:rPr>
          <w:b/>
          <w:bCs/>
        </w:rPr>
        <w:t>Slide 37:</w:t>
      </w:r>
      <w:r w:rsidR="00697A8B" w:rsidRPr="00697A8B">
        <w:t xml:space="preserve"> We have instituted procedures for we have instituted procedures for assessing the technical merit of applications to provide for an objective review of applications and to assist you in understanding the standards against which your application will be judged.</w:t>
      </w:r>
    </w:p>
    <w:p w14:paraId="13CBE9CB" w14:textId="77777777" w:rsidR="008A4602" w:rsidRPr="008A4602" w:rsidRDefault="008A4602" w:rsidP="008A4602">
      <w:r w:rsidRPr="00485F6B">
        <w:rPr>
          <w:b/>
          <w:bCs/>
        </w:rPr>
        <w:t>Slide 38:</w:t>
      </w:r>
      <w:r>
        <w:t xml:space="preserve"> </w:t>
      </w:r>
      <w:r w:rsidRPr="008A4602">
        <w:t xml:space="preserve">This year reviewers will rate each “rating factor” based on how fully and convincingly the applicant responds.  For each “rating factor” under each “criterion,” panelists will determine whether the applicant thoroughly meets, partially meets, or fails to meet the “rating factor,” unless otherwise noted in Section IV.B.3, based on the definitions here. </w:t>
      </w:r>
    </w:p>
    <w:p w14:paraId="749FF763" w14:textId="10D4BFE1" w:rsidR="008A4602" w:rsidRDefault="008A4602" w:rsidP="008A4602">
      <w:r w:rsidRPr="008A4602">
        <w:t>In order to receive the maximum points for each rating factor, applicants must provide a response to the requirement that fully describes the proposed program design and demonstrates the quality of approach, rather than simply re-stating a commitment to perform prescribed activities.</w:t>
      </w:r>
    </w:p>
    <w:p w14:paraId="64EAA8EF" w14:textId="429C60C0" w:rsidR="008A4602" w:rsidRPr="00155234" w:rsidRDefault="008A4602" w:rsidP="00CA73DC">
      <w:r w:rsidRPr="00485F6B">
        <w:rPr>
          <w:b/>
          <w:bCs/>
        </w:rPr>
        <w:t>Slide 39:</w:t>
      </w:r>
      <w:r>
        <w:t xml:space="preserve"> </w:t>
      </w:r>
      <w:r w:rsidR="00CA73DC">
        <w:t>Well, that concludes our presentation today. Thank you for joining the YouthBuild Perspective Applicant Webinar.</w:t>
      </w:r>
    </w:p>
    <w:p w14:paraId="15B0CA58" w14:textId="48B1334E" w:rsidR="00155234" w:rsidRPr="00A53B5E" w:rsidRDefault="00155234" w:rsidP="00A53B5E"/>
    <w:p w14:paraId="26D111EC" w14:textId="321C440B" w:rsidR="00254175" w:rsidRPr="009F605E" w:rsidRDefault="00254175" w:rsidP="0060019D"/>
    <w:p w14:paraId="152C54E0" w14:textId="2BE640FF" w:rsidR="009F605E" w:rsidRDefault="009F605E" w:rsidP="00AD590B">
      <w:pPr>
        <w:ind w:left="360"/>
      </w:pPr>
    </w:p>
    <w:p w14:paraId="07B9FB21" w14:textId="77777777" w:rsidR="009F605E" w:rsidRPr="00F30316" w:rsidRDefault="009F605E" w:rsidP="00AD590B">
      <w:pPr>
        <w:ind w:left="360"/>
      </w:pPr>
    </w:p>
    <w:sectPr w:rsidR="009F605E" w:rsidRPr="00F30316" w:rsidSect="007C21E2">
      <w:headerReference w:type="default" r:id="rId11"/>
      <w:footerReference w:type="default" r:id="rId12"/>
      <w:pgSz w:w="12240" w:h="15840"/>
      <w:pgMar w:top="20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ACE64" w14:textId="77777777" w:rsidR="00C3740F" w:rsidRDefault="00C3740F" w:rsidP="003516B4">
      <w:pPr>
        <w:spacing w:after="0" w:line="240" w:lineRule="auto"/>
      </w:pPr>
      <w:r>
        <w:separator/>
      </w:r>
    </w:p>
  </w:endnote>
  <w:endnote w:type="continuationSeparator" w:id="0">
    <w:p w14:paraId="01CC738B" w14:textId="77777777" w:rsidR="00C3740F" w:rsidRDefault="00C3740F" w:rsidP="00351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70853" w14:textId="2F0D6319" w:rsidR="007B1BA2" w:rsidRPr="003C7B24" w:rsidRDefault="00E40A10" w:rsidP="005D2414">
    <w:pPr>
      <w:pStyle w:val="Footer"/>
      <w:ind w:left="-720"/>
      <w:jc w:val="right"/>
    </w:pPr>
    <w:r>
      <mc:AlternateContent>
        <mc:Choice Requires="wps">
          <w:drawing>
            <wp:anchor distT="0" distB="0" distL="114300" distR="114300" simplePos="0" relativeHeight="251660287" behindDoc="1" locked="0" layoutInCell="1" allowOverlap="1" wp14:anchorId="0FEB1650" wp14:editId="1247387D">
              <wp:simplePos x="0" y="0"/>
              <wp:positionH relativeFrom="column">
                <wp:posOffset>-914400</wp:posOffset>
              </wp:positionH>
              <wp:positionV relativeFrom="paragraph">
                <wp:posOffset>297891</wp:posOffset>
              </wp:positionV>
              <wp:extent cx="7772400" cy="9144"/>
              <wp:effectExtent l="0" t="0" r="0" b="0"/>
              <wp:wrapNone/>
              <wp:docPr id="12"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9144"/>
                      </a:xfrm>
                      <a:prstGeom prst="rect">
                        <a:avLst/>
                      </a:prstGeom>
                      <a:solidFill>
                        <a:schemeClr val="accent4">
                          <a:alpha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25DFA09" id="Rectangle 12" o:spid="_x0000_s1026" alt="&quot;&quot;" style="position:absolute;margin-left:-1in;margin-top:23.45pt;width:612pt;height:.7pt;z-index:-25165619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" fillcolor="#c8c8c6 [3207]" stroked="f" strokeweight="1.5pt">
              <v:fill opacity="52428f"/>
            </v:rect>
          </w:pict>
        </mc:Fallback>
      </mc:AlternateContent>
    </w:r>
    <w:r w:rsidR="005D2414">
      <w:drawing>
        <wp:anchor distT="0" distB="0" distL="114300" distR="114300" simplePos="0" relativeHeight="251666432" behindDoc="1" locked="0" layoutInCell="1" allowOverlap="1" wp14:anchorId="6CAC9F48" wp14:editId="06622E6B">
          <wp:simplePos x="0" y="0"/>
          <wp:positionH relativeFrom="page">
            <wp:posOffset>7226935</wp:posOffset>
          </wp:positionH>
          <wp:positionV relativeFrom="page">
            <wp:posOffset>9202420</wp:posOffset>
          </wp:positionV>
          <wp:extent cx="539115" cy="855980"/>
          <wp:effectExtent l="0" t="0" r="0" b="1270"/>
          <wp:wrapNone/>
          <wp:docPr id="157230082" name="Picture 1572300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ottom_corner.png"/>
                  <pic:cNvPicPr/>
                </pic:nvPicPr>
                <pic:blipFill>
                  <a:blip r:embed="rId1"/>
                  <a:stretch>
                    <a:fillRect/>
                  </a:stretch>
                </pic:blipFill>
                <pic:spPr>
                  <a:xfrm>
                    <a:off x="0" y="0"/>
                    <a:ext cx="539115" cy="855980"/>
                  </a:xfrm>
                  <a:prstGeom prst="rect">
                    <a:avLst/>
                  </a:prstGeom>
                </pic:spPr>
              </pic:pic>
            </a:graphicData>
          </a:graphic>
          <wp14:sizeRelH relativeFrom="margin">
            <wp14:pctWidth>0</wp14:pctWidth>
          </wp14:sizeRelH>
          <wp14:sizeRelV relativeFrom="margin">
            <wp14:pctHeight>0</wp14:pctHeight>
          </wp14:sizeRelV>
        </wp:anchor>
      </w:drawing>
    </w:r>
    <w:r w:rsidR="005D2414">
      <w:drawing>
        <wp:anchor distT="0" distB="0" distL="114300" distR="114300" simplePos="0" relativeHeight="251665408" behindDoc="0" locked="0" layoutInCell="1" allowOverlap="1" wp14:anchorId="07A55EC3" wp14:editId="52704909">
          <wp:simplePos x="0" y="0"/>
          <wp:positionH relativeFrom="margin">
            <wp:posOffset>-228600</wp:posOffset>
          </wp:positionH>
          <wp:positionV relativeFrom="page">
            <wp:posOffset>9372600</wp:posOffset>
          </wp:positionV>
          <wp:extent cx="2267712" cy="274566"/>
          <wp:effectExtent l="0" t="0" r="0" b="0"/>
          <wp:wrapSquare wrapText="bothSides"/>
          <wp:docPr id="92720588" name="Picture 92720588">
            <a:extLst xmlns:a="http://schemas.openxmlformats.org/drawingml/2006/main">
              <a:ext uri="{FF2B5EF4-FFF2-40B4-BE49-F238E27FC236}">
                <a16:creationId xmlns:a16="http://schemas.microsoft.com/office/drawing/2014/main" id="{B8354039-63F9-4F85-A74E-784D07722FB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20588" name="Picture 92720588">
                    <a:extLst>
                      <a:ext uri="{FF2B5EF4-FFF2-40B4-BE49-F238E27FC236}">
                        <a16:creationId xmlns:a16="http://schemas.microsoft.com/office/drawing/2014/main" id="{B8354039-63F9-4F85-A74E-784D07722FB6}"/>
                      </a:ext>
                      <a:ext uri="{C183D7F6-B498-43B3-948B-1728B52AA6E4}">
                        <adec:decorative xmlns:adec="http://schemas.microsoft.com/office/drawing/2017/decorative" val="1"/>
                      </a:ext>
                    </a:extLst>
                  </pic:cNvPr>
                  <pic:cNvPicPr>
                    <a:picLocks noChangeAspect="1"/>
                  </pic:cNvPicPr>
                </pic:nvPicPr>
                <pic:blipFill>
                  <a:blip r:embed="rId2">
                    <a:alphaModFix amt="70000"/>
                    <a:extLst>
                      <a:ext uri="{BEBA8EAE-BF5A-486C-A8C5-ECC9F3942E4B}">
                        <a14:imgProps xmlns:a14="http://schemas.microsoft.com/office/drawing/2010/main">
                          <a14:imgLayer r:embed="rId3">
                            <a14:imgEffect>
                              <a14:brightnessContrast bright="50000"/>
                            </a14:imgEffect>
                          </a14:imgLayer>
                        </a14:imgProps>
                      </a:ext>
                      <a:ext uri="{28A0092B-C50C-407E-A947-70E740481C1C}">
                        <a14:useLocalDpi xmlns:a14="http://schemas.microsoft.com/office/drawing/2010/main" val="0"/>
                      </a:ext>
                    </a:extLst>
                  </a:blip>
                  <a:stretch>
                    <a:fillRect/>
                  </a:stretch>
                </pic:blipFill>
                <pic:spPr>
                  <a:xfrm>
                    <a:off x="0" y="0"/>
                    <a:ext cx="2267712" cy="274566"/>
                  </a:xfrm>
                  <a:prstGeom prst="rect">
                    <a:avLst/>
                  </a:prstGeom>
                </pic:spPr>
              </pic:pic>
            </a:graphicData>
          </a:graphic>
          <wp14:sizeRelH relativeFrom="margin">
            <wp14:pctWidth>0</wp14:pctWidth>
          </wp14:sizeRelH>
        </wp:anchor>
      </w:drawing>
    </w:r>
    <w:r w:rsidR="00B4235C" w:rsidRPr="00B4235C">
      <w:t>YouthBuild Prospective Applicant</w:t>
    </w:r>
    <w:r w:rsidR="00B4235C">
      <w:t xml:space="preserve"> Webcast</w:t>
    </w:r>
    <w:r w:rsidR="005D2414">
      <w:tab/>
    </w:r>
    <w:r w:rsidR="003F57DF" w:rsidRPr="002757E0">
      <w:rPr>
        <w:rStyle w:val="Strong"/>
      </w:rPr>
      <w:fldChar w:fldCharType="begin"/>
    </w:r>
    <w:r w:rsidR="003F57DF" w:rsidRPr="002757E0">
      <w:rPr>
        <w:rStyle w:val="Strong"/>
      </w:rPr>
      <w:instrText xml:space="preserve"> PAGE   \* MERGEFORMAT </w:instrText>
    </w:r>
    <w:r w:rsidR="003F57DF" w:rsidRPr="002757E0">
      <w:rPr>
        <w:rStyle w:val="Strong"/>
      </w:rPr>
      <w:fldChar w:fldCharType="separate"/>
    </w:r>
    <w:r w:rsidR="003F57DF" w:rsidRPr="002757E0">
      <w:rPr>
        <w:rStyle w:val="Strong"/>
      </w:rPr>
      <w:t>1</w:t>
    </w:r>
    <w:r w:rsidR="003F57DF" w:rsidRPr="002757E0">
      <w:rPr>
        <w:rStyle w:val="Strong"/>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986A6" w14:textId="77777777" w:rsidR="00C3740F" w:rsidRDefault="00C3740F" w:rsidP="003516B4">
      <w:pPr>
        <w:spacing w:after="0" w:line="240" w:lineRule="auto"/>
      </w:pPr>
      <w:r>
        <w:separator/>
      </w:r>
    </w:p>
  </w:footnote>
  <w:footnote w:type="continuationSeparator" w:id="0">
    <w:p w14:paraId="456E0F63" w14:textId="77777777" w:rsidR="00C3740F" w:rsidRDefault="00C3740F" w:rsidP="003516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A7897" w14:textId="77777777" w:rsidR="00B4235C" w:rsidRDefault="00273924" w:rsidP="007C21E2">
    <w:pPr>
      <w:pStyle w:val="Header"/>
      <w:spacing w:after="40"/>
      <w:ind w:left="0"/>
      <w:rPr>
        <w:sz w:val="36"/>
        <w:szCs w:val="36"/>
      </w:rPr>
    </w:pPr>
    <w:r w:rsidRPr="00CC5DA9">
      <w:rPr>
        <w:sz w:val="36"/>
        <w:szCs w:val="36"/>
      </w:rPr>
      <w:drawing>
        <wp:anchor distT="0" distB="0" distL="114300" distR="114300" simplePos="0" relativeHeight="251663360" behindDoc="0" locked="0" layoutInCell="1" allowOverlap="1" wp14:anchorId="78430434" wp14:editId="4E00C1F7">
          <wp:simplePos x="0" y="0"/>
          <wp:positionH relativeFrom="page">
            <wp:posOffset>5833745</wp:posOffset>
          </wp:positionH>
          <wp:positionV relativeFrom="page">
            <wp:posOffset>321149</wp:posOffset>
          </wp:positionV>
          <wp:extent cx="1453896" cy="493776"/>
          <wp:effectExtent l="0" t="0" r="0" b="1905"/>
          <wp:wrapNone/>
          <wp:docPr id="645031451" name="Picture 6450314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031451" name="Picture 64503145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3896" cy="493776"/>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5DA9">
      <w:rPr>
        <w:sz w:val="36"/>
        <w:szCs w:val="36"/>
      </w:rPr>
      <mc:AlternateContent>
        <mc:Choice Requires="wpg">
          <w:drawing>
            <wp:anchor distT="0" distB="0" distL="114300" distR="114300" simplePos="0" relativeHeight="251661312" behindDoc="1" locked="0" layoutInCell="1" allowOverlap="1" wp14:anchorId="0F9433DA" wp14:editId="185F19AB">
              <wp:simplePos x="0" y="0"/>
              <wp:positionH relativeFrom="column">
                <wp:posOffset>-914400</wp:posOffset>
              </wp:positionH>
              <wp:positionV relativeFrom="paragraph">
                <wp:posOffset>-457200</wp:posOffset>
              </wp:positionV>
              <wp:extent cx="7772400" cy="1103630"/>
              <wp:effectExtent l="0" t="0" r="0" b="1270"/>
              <wp:wrapNone/>
              <wp:docPr id="6"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72400" cy="1103630"/>
                        <a:chOff x="0" y="0"/>
                        <a:chExt cx="7772400" cy="1103757"/>
                      </a:xfrm>
                    </wpg:grpSpPr>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pic:cNvPicPr>
                      </pic:nvPicPr>
                      <pic:blipFill>
                        <a:blip r:embed="rId2"/>
                        <a:stretch>
                          <a:fillRect/>
                        </a:stretch>
                      </pic:blipFill>
                      <pic:spPr>
                        <a:xfrm>
                          <a:off x="0" y="0"/>
                          <a:ext cx="991235" cy="1095375"/>
                        </a:xfrm>
                        <a:prstGeom prst="rect">
                          <a:avLst/>
                        </a:prstGeom>
                      </pic:spPr>
                    </pic:pic>
                    <wps:wsp>
                      <wps:cNvPr id="5" name="Rectangle 5"/>
                      <wps:cNvSpPr/>
                      <wps:spPr>
                        <a:xfrm>
                          <a:off x="0" y="1076325"/>
                          <a:ext cx="7772400" cy="27432"/>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FB450A5" id="Group 6" o:spid="_x0000_s1026" alt="&quot;&quot;" style="position:absolute;margin-left:-1in;margin-top:-36pt;width:612pt;height:86.9pt;z-index:-251655168" coordsize="77724,110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quot;&quot;" style="position:absolute;width:9912;height:10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">
                <v:imagedata r:id="rId3" o:title=""/>
              </v:shape>
              <v:rect id="Rectangle 5" o:spid="_x0000_s1028" style="position:absolute;top:10763;width:77724;height: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" fillcolor="#c8c8c6 [3207]" stroked="f" strokeweight="1.5pt"/>
            </v:group>
          </w:pict>
        </mc:Fallback>
      </mc:AlternateContent>
    </w:r>
    <w:r w:rsidR="006B1992" w:rsidRPr="006B1992">
      <w:t xml:space="preserve"> </w:t>
    </w:r>
    <w:r w:rsidR="00B4235C" w:rsidRPr="00B4235C">
      <w:rPr>
        <w:sz w:val="36"/>
        <w:szCs w:val="36"/>
      </w:rPr>
      <w:t>YouthBuild Prospective Applicant</w:t>
    </w:r>
    <w:r w:rsidR="00B4235C">
      <w:rPr>
        <w:sz w:val="36"/>
        <w:szCs w:val="36"/>
      </w:rPr>
      <w:t xml:space="preserve"> </w:t>
    </w:r>
  </w:p>
  <w:p w14:paraId="5ED3A547" w14:textId="056127C1" w:rsidR="003516B4" w:rsidRPr="00CC5DA9" w:rsidRDefault="00B4235C" w:rsidP="007C21E2">
    <w:pPr>
      <w:pStyle w:val="Header"/>
      <w:spacing w:after="40"/>
      <w:ind w:left="0"/>
      <w:rPr>
        <w:sz w:val="36"/>
        <w:szCs w:val="36"/>
      </w:rPr>
    </w:pPr>
    <w:r>
      <w:rPr>
        <w:sz w:val="36"/>
        <w:szCs w:val="36"/>
      </w:rPr>
      <w:t xml:space="preserve"> Webcast </w:t>
    </w:r>
    <w:r w:rsidR="00CC5DA9" w:rsidRPr="00CC5DA9">
      <w:rPr>
        <w:sz w:val="36"/>
        <w:szCs w:val="36"/>
      </w:rPr>
      <w:t>Transcript</w:t>
    </w:r>
    <w:r w:rsidR="00CC5DA9" w:rsidRPr="00CC5DA9">
      <w:rPr>
        <w:sz w:val="24"/>
        <w:szCs w:val="24"/>
      </w:rPr>
      <w:t xml:space="preserve"> </w:t>
    </w:r>
    <w:r w:rsidR="006654CC" w:rsidRPr="00CC5DA9">
      <w:rPr>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77CB"/>
    <w:multiLevelType w:val="hybridMultilevel"/>
    <w:tmpl w:val="BA8C0428"/>
    <w:lvl w:ilvl="0" w:tplc="F754D2B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754CEA"/>
    <w:multiLevelType w:val="hybridMultilevel"/>
    <w:tmpl w:val="C868E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C26BE7"/>
    <w:multiLevelType w:val="hybridMultilevel"/>
    <w:tmpl w:val="9BDCC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8534BB"/>
    <w:multiLevelType w:val="hybridMultilevel"/>
    <w:tmpl w:val="406276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BA344B4"/>
    <w:multiLevelType w:val="hybridMultilevel"/>
    <w:tmpl w:val="E586D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4D6D7F"/>
    <w:multiLevelType w:val="hybridMultilevel"/>
    <w:tmpl w:val="D5C0B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E45F8D"/>
    <w:multiLevelType w:val="hybridMultilevel"/>
    <w:tmpl w:val="F202E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2A2C05"/>
    <w:multiLevelType w:val="hybridMultilevel"/>
    <w:tmpl w:val="1204642E"/>
    <w:lvl w:ilvl="0" w:tplc="D8220ABA">
      <w:start w:val="1"/>
      <w:numFmt w:val="bullet"/>
      <w:lvlText w:val="-"/>
      <w:lvlJc w:val="left"/>
      <w:pPr>
        <w:tabs>
          <w:tab w:val="num" w:pos="720"/>
        </w:tabs>
        <w:ind w:left="720" w:hanging="360"/>
      </w:pPr>
      <w:rPr>
        <w:rFonts w:ascii="Times New Roman" w:hAnsi="Times New Roman" w:hint="default"/>
      </w:rPr>
    </w:lvl>
    <w:lvl w:ilvl="1" w:tplc="E2902B64" w:tentative="1">
      <w:start w:val="1"/>
      <w:numFmt w:val="bullet"/>
      <w:lvlText w:val="-"/>
      <w:lvlJc w:val="left"/>
      <w:pPr>
        <w:tabs>
          <w:tab w:val="num" w:pos="1440"/>
        </w:tabs>
        <w:ind w:left="1440" w:hanging="360"/>
      </w:pPr>
      <w:rPr>
        <w:rFonts w:ascii="Times New Roman" w:hAnsi="Times New Roman" w:hint="default"/>
      </w:rPr>
    </w:lvl>
    <w:lvl w:ilvl="2" w:tplc="FBC206E4" w:tentative="1">
      <w:start w:val="1"/>
      <w:numFmt w:val="bullet"/>
      <w:lvlText w:val="-"/>
      <w:lvlJc w:val="left"/>
      <w:pPr>
        <w:tabs>
          <w:tab w:val="num" w:pos="2160"/>
        </w:tabs>
        <w:ind w:left="2160" w:hanging="360"/>
      </w:pPr>
      <w:rPr>
        <w:rFonts w:ascii="Times New Roman" w:hAnsi="Times New Roman" w:hint="default"/>
      </w:rPr>
    </w:lvl>
    <w:lvl w:ilvl="3" w:tplc="D786AE72" w:tentative="1">
      <w:start w:val="1"/>
      <w:numFmt w:val="bullet"/>
      <w:lvlText w:val="-"/>
      <w:lvlJc w:val="left"/>
      <w:pPr>
        <w:tabs>
          <w:tab w:val="num" w:pos="2880"/>
        </w:tabs>
        <w:ind w:left="2880" w:hanging="360"/>
      </w:pPr>
      <w:rPr>
        <w:rFonts w:ascii="Times New Roman" w:hAnsi="Times New Roman" w:hint="default"/>
      </w:rPr>
    </w:lvl>
    <w:lvl w:ilvl="4" w:tplc="F6DC0804" w:tentative="1">
      <w:start w:val="1"/>
      <w:numFmt w:val="bullet"/>
      <w:lvlText w:val="-"/>
      <w:lvlJc w:val="left"/>
      <w:pPr>
        <w:tabs>
          <w:tab w:val="num" w:pos="3600"/>
        </w:tabs>
        <w:ind w:left="3600" w:hanging="360"/>
      </w:pPr>
      <w:rPr>
        <w:rFonts w:ascii="Times New Roman" w:hAnsi="Times New Roman" w:hint="default"/>
      </w:rPr>
    </w:lvl>
    <w:lvl w:ilvl="5" w:tplc="D43C9D48" w:tentative="1">
      <w:start w:val="1"/>
      <w:numFmt w:val="bullet"/>
      <w:lvlText w:val="-"/>
      <w:lvlJc w:val="left"/>
      <w:pPr>
        <w:tabs>
          <w:tab w:val="num" w:pos="4320"/>
        </w:tabs>
        <w:ind w:left="4320" w:hanging="360"/>
      </w:pPr>
      <w:rPr>
        <w:rFonts w:ascii="Times New Roman" w:hAnsi="Times New Roman" w:hint="default"/>
      </w:rPr>
    </w:lvl>
    <w:lvl w:ilvl="6" w:tplc="3F389322" w:tentative="1">
      <w:start w:val="1"/>
      <w:numFmt w:val="bullet"/>
      <w:lvlText w:val="-"/>
      <w:lvlJc w:val="left"/>
      <w:pPr>
        <w:tabs>
          <w:tab w:val="num" w:pos="5040"/>
        </w:tabs>
        <w:ind w:left="5040" w:hanging="360"/>
      </w:pPr>
      <w:rPr>
        <w:rFonts w:ascii="Times New Roman" w:hAnsi="Times New Roman" w:hint="default"/>
      </w:rPr>
    </w:lvl>
    <w:lvl w:ilvl="7" w:tplc="FC6EB34A" w:tentative="1">
      <w:start w:val="1"/>
      <w:numFmt w:val="bullet"/>
      <w:lvlText w:val="-"/>
      <w:lvlJc w:val="left"/>
      <w:pPr>
        <w:tabs>
          <w:tab w:val="num" w:pos="5760"/>
        </w:tabs>
        <w:ind w:left="5760" w:hanging="360"/>
      </w:pPr>
      <w:rPr>
        <w:rFonts w:ascii="Times New Roman" w:hAnsi="Times New Roman" w:hint="default"/>
      </w:rPr>
    </w:lvl>
    <w:lvl w:ilvl="8" w:tplc="B858AB14"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37600F0E"/>
    <w:multiLevelType w:val="hybridMultilevel"/>
    <w:tmpl w:val="5A6660BE"/>
    <w:lvl w:ilvl="0" w:tplc="A52062FE">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F73ECA2C">
      <w:start w:val="1"/>
      <w:numFmt w:val="lowerRoman"/>
      <w:lvlText w:val="%3."/>
      <w:lvlJc w:val="right"/>
      <w:pPr>
        <w:ind w:left="2016" w:hanging="216"/>
      </w:pPr>
      <w:rPr>
        <w:rFonts w:hint="default"/>
        <w:color w:val="232323" w:themeColor="accent3" w:themeShade="BF"/>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EA003C"/>
    <w:multiLevelType w:val="hybridMultilevel"/>
    <w:tmpl w:val="5802B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B27F3C"/>
    <w:multiLevelType w:val="hybridMultilevel"/>
    <w:tmpl w:val="C7C2FEBC"/>
    <w:lvl w:ilvl="0" w:tplc="3E30266C">
      <w:start w:val="1"/>
      <w:numFmt w:val="bullet"/>
      <w:lvlText w:val=""/>
      <w:lvlJc w:val="left"/>
      <w:pPr>
        <w:tabs>
          <w:tab w:val="num" w:pos="720"/>
        </w:tabs>
        <w:ind w:left="720" w:hanging="360"/>
      </w:pPr>
      <w:rPr>
        <w:rFonts w:ascii="Wingdings 3" w:hAnsi="Wingdings 3" w:hint="default"/>
      </w:rPr>
    </w:lvl>
    <w:lvl w:ilvl="1" w:tplc="690AFBF0" w:tentative="1">
      <w:start w:val="1"/>
      <w:numFmt w:val="bullet"/>
      <w:lvlText w:val=""/>
      <w:lvlJc w:val="left"/>
      <w:pPr>
        <w:tabs>
          <w:tab w:val="num" w:pos="1440"/>
        </w:tabs>
        <w:ind w:left="1440" w:hanging="360"/>
      </w:pPr>
      <w:rPr>
        <w:rFonts w:ascii="Wingdings 3" w:hAnsi="Wingdings 3" w:hint="default"/>
      </w:rPr>
    </w:lvl>
    <w:lvl w:ilvl="2" w:tplc="A8EE4172" w:tentative="1">
      <w:start w:val="1"/>
      <w:numFmt w:val="bullet"/>
      <w:lvlText w:val=""/>
      <w:lvlJc w:val="left"/>
      <w:pPr>
        <w:tabs>
          <w:tab w:val="num" w:pos="2160"/>
        </w:tabs>
        <w:ind w:left="2160" w:hanging="360"/>
      </w:pPr>
      <w:rPr>
        <w:rFonts w:ascii="Wingdings 3" w:hAnsi="Wingdings 3" w:hint="default"/>
      </w:rPr>
    </w:lvl>
    <w:lvl w:ilvl="3" w:tplc="3342DD1E" w:tentative="1">
      <w:start w:val="1"/>
      <w:numFmt w:val="bullet"/>
      <w:lvlText w:val=""/>
      <w:lvlJc w:val="left"/>
      <w:pPr>
        <w:tabs>
          <w:tab w:val="num" w:pos="2880"/>
        </w:tabs>
        <w:ind w:left="2880" w:hanging="360"/>
      </w:pPr>
      <w:rPr>
        <w:rFonts w:ascii="Wingdings 3" w:hAnsi="Wingdings 3" w:hint="default"/>
      </w:rPr>
    </w:lvl>
    <w:lvl w:ilvl="4" w:tplc="8750B13A" w:tentative="1">
      <w:start w:val="1"/>
      <w:numFmt w:val="bullet"/>
      <w:lvlText w:val=""/>
      <w:lvlJc w:val="left"/>
      <w:pPr>
        <w:tabs>
          <w:tab w:val="num" w:pos="3600"/>
        </w:tabs>
        <w:ind w:left="3600" w:hanging="360"/>
      </w:pPr>
      <w:rPr>
        <w:rFonts w:ascii="Wingdings 3" w:hAnsi="Wingdings 3" w:hint="default"/>
      </w:rPr>
    </w:lvl>
    <w:lvl w:ilvl="5" w:tplc="71FC4134" w:tentative="1">
      <w:start w:val="1"/>
      <w:numFmt w:val="bullet"/>
      <w:lvlText w:val=""/>
      <w:lvlJc w:val="left"/>
      <w:pPr>
        <w:tabs>
          <w:tab w:val="num" w:pos="4320"/>
        </w:tabs>
        <w:ind w:left="4320" w:hanging="360"/>
      </w:pPr>
      <w:rPr>
        <w:rFonts w:ascii="Wingdings 3" w:hAnsi="Wingdings 3" w:hint="default"/>
      </w:rPr>
    </w:lvl>
    <w:lvl w:ilvl="6" w:tplc="DEDC4C5E" w:tentative="1">
      <w:start w:val="1"/>
      <w:numFmt w:val="bullet"/>
      <w:lvlText w:val=""/>
      <w:lvlJc w:val="left"/>
      <w:pPr>
        <w:tabs>
          <w:tab w:val="num" w:pos="5040"/>
        </w:tabs>
        <w:ind w:left="5040" w:hanging="360"/>
      </w:pPr>
      <w:rPr>
        <w:rFonts w:ascii="Wingdings 3" w:hAnsi="Wingdings 3" w:hint="default"/>
      </w:rPr>
    </w:lvl>
    <w:lvl w:ilvl="7" w:tplc="027468A0" w:tentative="1">
      <w:start w:val="1"/>
      <w:numFmt w:val="bullet"/>
      <w:lvlText w:val=""/>
      <w:lvlJc w:val="left"/>
      <w:pPr>
        <w:tabs>
          <w:tab w:val="num" w:pos="5760"/>
        </w:tabs>
        <w:ind w:left="5760" w:hanging="360"/>
      </w:pPr>
      <w:rPr>
        <w:rFonts w:ascii="Wingdings 3" w:hAnsi="Wingdings 3" w:hint="default"/>
      </w:rPr>
    </w:lvl>
    <w:lvl w:ilvl="8" w:tplc="4E3A563A"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47596204"/>
    <w:multiLevelType w:val="hybridMultilevel"/>
    <w:tmpl w:val="0B0045CE"/>
    <w:lvl w:ilvl="0" w:tplc="7D50E684">
      <w:start w:val="1"/>
      <w:numFmt w:val="decimal"/>
      <w:pStyle w:val="NumberedList"/>
      <w:lvlText w:val="%1."/>
      <w:lvlJc w:val="left"/>
      <w:pPr>
        <w:ind w:left="720" w:hanging="360"/>
      </w:pPr>
      <w:rPr>
        <w:rFonts w:hint="default"/>
        <w:b/>
        <w:bCs/>
        <w:color w:val="7A232F" w:themeColor="accent2"/>
      </w:rPr>
    </w:lvl>
    <w:lvl w:ilvl="1" w:tplc="A7B451E2">
      <w:start w:val="1"/>
      <w:numFmt w:val="lowerLetter"/>
      <w:lvlText w:val="%2."/>
      <w:lvlJc w:val="left"/>
      <w:pPr>
        <w:ind w:left="1368" w:hanging="288"/>
      </w:pPr>
      <w:rPr>
        <w:rFonts w:hint="default"/>
        <w:color w:val="2C5261" w:themeColor="accent1"/>
      </w:rPr>
    </w:lvl>
    <w:lvl w:ilvl="2" w:tplc="8CF294C0">
      <w:start w:val="1"/>
      <w:numFmt w:val="lowerRoman"/>
      <w:lvlText w:val=" %3."/>
      <w:lvlJc w:val="right"/>
      <w:pPr>
        <w:ind w:left="2016" w:hanging="216"/>
      </w:pPr>
      <w:rPr>
        <w:rFonts w:hint="default"/>
        <w:color w:val="636363" w:themeColor="accent3" w:themeTint="BF"/>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4D6389"/>
    <w:multiLevelType w:val="hybridMultilevel"/>
    <w:tmpl w:val="743EC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967704"/>
    <w:multiLevelType w:val="hybridMultilevel"/>
    <w:tmpl w:val="759C5E6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C260086"/>
    <w:multiLevelType w:val="hybridMultilevel"/>
    <w:tmpl w:val="9D80B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D8631C"/>
    <w:multiLevelType w:val="hybridMultilevel"/>
    <w:tmpl w:val="CB729292"/>
    <w:lvl w:ilvl="0" w:tplc="5E6A5D60">
      <w:start w:val="1"/>
      <w:numFmt w:val="bullet"/>
      <w:pStyle w:val="ListParagraph"/>
      <w:lvlText w:val=""/>
      <w:lvlJc w:val="left"/>
      <w:pPr>
        <w:ind w:left="720" w:hanging="360"/>
      </w:pPr>
      <w:rPr>
        <w:rFonts w:ascii="Wingdings 3" w:hAnsi="Wingdings 3" w:hint="default"/>
        <w:color w:val="7A232F" w:themeColor="accent2"/>
      </w:rPr>
    </w:lvl>
    <w:lvl w:ilvl="1" w:tplc="BA6A14FE">
      <w:start w:val="1"/>
      <w:numFmt w:val="bullet"/>
      <w:lvlText w:val=""/>
      <w:lvlJc w:val="left"/>
      <w:pPr>
        <w:ind w:left="1368" w:hanging="288"/>
      </w:pPr>
      <w:rPr>
        <w:rFonts w:ascii="Wingdings 3" w:hAnsi="Wingdings 3" w:hint="default"/>
        <w:color w:val="005A7C" w:themeColor="accent6"/>
      </w:rPr>
    </w:lvl>
    <w:lvl w:ilvl="2" w:tplc="B41C41CE">
      <w:start w:val="1"/>
      <w:numFmt w:val="bullet"/>
      <w:lvlText w:val=""/>
      <w:lvlJc w:val="left"/>
      <w:pPr>
        <w:ind w:left="2016" w:hanging="216"/>
      </w:pPr>
      <w:rPr>
        <w:rFonts w:ascii="Wingdings 3" w:hAnsi="Wingdings 3" w:hint="default"/>
        <w:color w:val="808080" w:themeColor="background1" w:themeShade="80"/>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6F4F77"/>
    <w:multiLevelType w:val="hybridMultilevel"/>
    <w:tmpl w:val="D1FC30BE"/>
    <w:lvl w:ilvl="0" w:tplc="0409000F">
      <w:start w:val="1"/>
      <w:numFmt w:val="decimal"/>
      <w:lvlText w:val="%1."/>
      <w:lvlJc w:val="left"/>
      <w:pPr>
        <w:ind w:left="720" w:hanging="360"/>
      </w:pPr>
    </w:lvl>
    <w:lvl w:ilvl="1" w:tplc="E5C2D75E">
      <w:start w:val="1"/>
      <w:numFmt w:val="lowerLetter"/>
      <w:lvlText w:val="%2."/>
      <w:lvlJc w:val="left"/>
      <w:pPr>
        <w:ind w:left="1440" w:hanging="360"/>
      </w:pPr>
      <w:rPr>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48A352"/>
    <w:multiLevelType w:val="hybridMultilevel"/>
    <w:tmpl w:val="CDF23182"/>
    <w:lvl w:ilvl="0" w:tplc="04090005">
      <w:start w:val="1"/>
      <w:numFmt w:val="bullet"/>
      <w:lvlText w:val=""/>
      <w:lvlJc w:val="left"/>
      <w:pPr>
        <w:ind w:left="720" w:hanging="360"/>
      </w:pPr>
      <w:rPr>
        <w:rFonts w:ascii="Wingdings" w:hAnsi="Wingdings" w:hint="default"/>
      </w:rPr>
    </w:lvl>
    <w:lvl w:ilvl="1" w:tplc="312A8B52">
      <w:start w:val="1"/>
      <w:numFmt w:val="bullet"/>
      <w:lvlText w:val="o"/>
      <w:lvlJc w:val="left"/>
      <w:pPr>
        <w:ind w:left="1440" w:hanging="360"/>
      </w:pPr>
      <w:rPr>
        <w:rFonts w:ascii="Courier New" w:hAnsi="Courier New" w:hint="default"/>
      </w:rPr>
    </w:lvl>
    <w:lvl w:ilvl="2" w:tplc="5A500ABE">
      <w:start w:val="1"/>
      <w:numFmt w:val="bullet"/>
      <w:lvlText w:val=""/>
      <w:lvlJc w:val="left"/>
      <w:pPr>
        <w:ind w:left="2160" w:hanging="360"/>
      </w:pPr>
      <w:rPr>
        <w:rFonts w:ascii="Wingdings" w:hAnsi="Wingdings" w:hint="default"/>
      </w:rPr>
    </w:lvl>
    <w:lvl w:ilvl="3" w:tplc="5E30D314">
      <w:start w:val="1"/>
      <w:numFmt w:val="bullet"/>
      <w:lvlText w:val=""/>
      <w:lvlJc w:val="left"/>
      <w:pPr>
        <w:ind w:left="2880" w:hanging="360"/>
      </w:pPr>
      <w:rPr>
        <w:rFonts w:ascii="Symbol" w:hAnsi="Symbol" w:hint="default"/>
      </w:rPr>
    </w:lvl>
    <w:lvl w:ilvl="4" w:tplc="240C2CCA">
      <w:start w:val="1"/>
      <w:numFmt w:val="bullet"/>
      <w:lvlText w:val="o"/>
      <w:lvlJc w:val="left"/>
      <w:pPr>
        <w:ind w:left="3600" w:hanging="360"/>
      </w:pPr>
      <w:rPr>
        <w:rFonts w:ascii="Courier New" w:hAnsi="Courier New" w:hint="default"/>
      </w:rPr>
    </w:lvl>
    <w:lvl w:ilvl="5" w:tplc="A5C85D42">
      <w:start w:val="1"/>
      <w:numFmt w:val="bullet"/>
      <w:lvlText w:val=""/>
      <w:lvlJc w:val="left"/>
      <w:pPr>
        <w:ind w:left="4320" w:hanging="360"/>
      </w:pPr>
      <w:rPr>
        <w:rFonts w:ascii="Wingdings" w:hAnsi="Wingdings" w:hint="default"/>
      </w:rPr>
    </w:lvl>
    <w:lvl w:ilvl="6" w:tplc="418600F4">
      <w:start w:val="1"/>
      <w:numFmt w:val="bullet"/>
      <w:lvlText w:val=""/>
      <w:lvlJc w:val="left"/>
      <w:pPr>
        <w:ind w:left="5040" w:hanging="360"/>
      </w:pPr>
      <w:rPr>
        <w:rFonts w:ascii="Symbol" w:hAnsi="Symbol" w:hint="default"/>
      </w:rPr>
    </w:lvl>
    <w:lvl w:ilvl="7" w:tplc="EC4481AE">
      <w:start w:val="1"/>
      <w:numFmt w:val="bullet"/>
      <w:lvlText w:val="o"/>
      <w:lvlJc w:val="left"/>
      <w:pPr>
        <w:ind w:left="5760" w:hanging="360"/>
      </w:pPr>
      <w:rPr>
        <w:rFonts w:ascii="Courier New" w:hAnsi="Courier New" w:hint="default"/>
      </w:rPr>
    </w:lvl>
    <w:lvl w:ilvl="8" w:tplc="87F8D2AC">
      <w:start w:val="1"/>
      <w:numFmt w:val="bullet"/>
      <w:lvlText w:val=""/>
      <w:lvlJc w:val="left"/>
      <w:pPr>
        <w:ind w:left="6480" w:hanging="360"/>
      </w:pPr>
      <w:rPr>
        <w:rFonts w:ascii="Wingdings" w:hAnsi="Wingdings" w:hint="default"/>
      </w:rPr>
    </w:lvl>
  </w:abstractNum>
  <w:abstractNum w:abstractNumId="18" w15:restartNumberingAfterBreak="0">
    <w:nsid w:val="5E246533"/>
    <w:multiLevelType w:val="hybridMultilevel"/>
    <w:tmpl w:val="69B26758"/>
    <w:lvl w:ilvl="0" w:tplc="1D3845D2">
      <w:start w:val="1"/>
      <w:numFmt w:val="bullet"/>
      <w:lvlText w:val=""/>
      <w:lvlJc w:val="left"/>
      <w:pPr>
        <w:tabs>
          <w:tab w:val="num" w:pos="720"/>
        </w:tabs>
        <w:ind w:left="720" w:hanging="360"/>
      </w:pPr>
      <w:rPr>
        <w:rFonts w:ascii="Wingdings" w:hAnsi="Wingdings" w:hint="default"/>
      </w:rPr>
    </w:lvl>
    <w:lvl w:ilvl="1" w:tplc="10F4BEE8">
      <w:numFmt w:val="bullet"/>
      <w:lvlText w:val=""/>
      <w:lvlJc w:val="left"/>
      <w:pPr>
        <w:tabs>
          <w:tab w:val="num" w:pos="1440"/>
        </w:tabs>
        <w:ind w:left="1440" w:hanging="360"/>
      </w:pPr>
      <w:rPr>
        <w:rFonts w:ascii="Wingdings" w:hAnsi="Wingdings" w:hint="default"/>
      </w:rPr>
    </w:lvl>
    <w:lvl w:ilvl="2" w:tplc="78AE4FC2" w:tentative="1">
      <w:start w:val="1"/>
      <w:numFmt w:val="bullet"/>
      <w:lvlText w:val=""/>
      <w:lvlJc w:val="left"/>
      <w:pPr>
        <w:tabs>
          <w:tab w:val="num" w:pos="2160"/>
        </w:tabs>
        <w:ind w:left="2160" w:hanging="360"/>
      </w:pPr>
      <w:rPr>
        <w:rFonts w:ascii="Wingdings" w:hAnsi="Wingdings" w:hint="default"/>
      </w:rPr>
    </w:lvl>
    <w:lvl w:ilvl="3" w:tplc="5BA8A65A" w:tentative="1">
      <w:start w:val="1"/>
      <w:numFmt w:val="bullet"/>
      <w:lvlText w:val=""/>
      <w:lvlJc w:val="left"/>
      <w:pPr>
        <w:tabs>
          <w:tab w:val="num" w:pos="2880"/>
        </w:tabs>
        <w:ind w:left="2880" w:hanging="360"/>
      </w:pPr>
      <w:rPr>
        <w:rFonts w:ascii="Wingdings" w:hAnsi="Wingdings" w:hint="default"/>
      </w:rPr>
    </w:lvl>
    <w:lvl w:ilvl="4" w:tplc="45AA04D2" w:tentative="1">
      <w:start w:val="1"/>
      <w:numFmt w:val="bullet"/>
      <w:lvlText w:val=""/>
      <w:lvlJc w:val="left"/>
      <w:pPr>
        <w:tabs>
          <w:tab w:val="num" w:pos="3600"/>
        </w:tabs>
        <w:ind w:left="3600" w:hanging="360"/>
      </w:pPr>
      <w:rPr>
        <w:rFonts w:ascii="Wingdings" w:hAnsi="Wingdings" w:hint="default"/>
      </w:rPr>
    </w:lvl>
    <w:lvl w:ilvl="5" w:tplc="6A245226" w:tentative="1">
      <w:start w:val="1"/>
      <w:numFmt w:val="bullet"/>
      <w:lvlText w:val=""/>
      <w:lvlJc w:val="left"/>
      <w:pPr>
        <w:tabs>
          <w:tab w:val="num" w:pos="4320"/>
        </w:tabs>
        <w:ind w:left="4320" w:hanging="360"/>
      </w:pPr>
      <w:rPr>
        <w:rFonts w:ascii="Wingdings" w:hAnsi="Wingdings" w:hint="default"/>
      </w:rPr>
    </w:lvl>
    <w:lvl w:ilvl="6" w:tplc="089EE88E" w:tentative="1">
      <w:start w:val="1"/>
      <w:numFmt w:val="bullet"/>
      <w:lvlText w:val=""/>
      <w:lvlJc w:val="left"/>
      <w:pPr>
        <w:tabs>
          <w:tab w:val="num" w:pos="5040"/>
        </w:tabs>
        <w:ind w:left="5040" w:hanging="360"/>
      </w:pPr>
      <w:rPr>
        <w:rFonts w:ascii="Wingdings" w:hAnsi="Wingdings" w:hint="default"/>
      </w:rPr>
    </w:lvl>
    <w:lvl w:ilvl="7" w:tplc="4CE07DF4" w:tentative="1">
      <w:start w:val="1"/>
      <w:numFmt w:val="bullet"/>
      <w:lvlText w:val=""/>
      <w:lvlJc w:val="left"/>
      <w:pPr>
        <w:tabs>
          <w:tab w:val="num" w:pos="5760"/>
        </w:tabs>
        <w:ind w:left="5760" w:hanging="360"/>
      </w:pPr>
      <w:rPr>
        <w:rFonts w:ascii="Wingdings" w:hAnsi="Wingdings" w:hint="default"/>
      </w:rPr>
    </w:lvl>
    <w:lvl w:ilvl="8" w:tplc="6AC0E84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E9E633C"/>
    <w:multiLevelType w:val="hybridMultilevel"/>
    <w:tmpl w:val="97E80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4C4EA5"/>
    <w:multiLevelType w:val="hybridMultilevel"/>
    <w:tmpl w:val="9B64B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E361D1"/>
    <w:multiLevelType w:val="multilevel"/>
    <w:tmpl w:val="2CAE65A4"/>
    <w:lvl w:ilvl="0">
      <w:start w:val="1"/>
      <w:numFmt w:val="decimal"/>
      <w:lvlText w:val="%1."/>
      <w:lvlJc w:val="left"/>
      <w:pPr>
        <w:ind w:left="720" w:hanging="360"/>
      </w:pPr>
      <w:rPr>
        <w:rFonts w:hint="default"/>
        <w:b/>
        <w:bCs/>
        <w:color w:val="7A232F" w:themeColor="accent2"/>
      </w:rPr>
    </w:lvl>
    <w:lvl w:ilvl="1">
      <w:start w:val="1"/>
      <w:numFmt w:val="lowerLetter"/>
      <w:lvlText w:val="%2."/>
      <w:lvlJc w:val="left"/>
      <w:pPr>
        <w:ind w:left="1368" w:hanging="288"/>
      </w:pPr>
      <w:rPr>
        <w:rFonts w:hint="default"/>
        <w:color w:val="2C5261" w:themeColor="accent1"/>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BA24E21"/>
    <w:multiLevelType w:val="hybridMultilevel"/>
    <w:tmpl w:val="2EC46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357EC"/>
    <w:multiLevelType w:val="hybridMultilevel"/>
    <w:tmpl w:val="EAC65B9E"/>
    <w:lvl w:ilvl="0" w:tplc="04090005">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Wingdings 3" w:hAnsi="Wingdings 3" w:hint="default"/>
      </w:rPr>
    </w:lvl>
    <w:lvl w:ilvl="2" w:tplc="FFFFFFFF" w:tentative="1">
      <w:start w:val="1"/>
      <w:numFmt w:val="bullet"/>
      <w:lvlText w:val=""/>
      <w:lvlJc w:val="left"/>
      <w:pPr>
        <w:tabs>
          <w:tab w:val="num" w:pos="2160"/>
        </w:tabs>
        <w:ind w:left="2160" w:hanging="360"/>
      </w:pPr>
      <w:rPr>
        <w:rFonts w:ascii="Wingdings 3" w:hAnsi="Wingdings 3" w:hint="default"/>
      </w:rPr>
    </w:lvl>
    <w:lvl w:ilvl="3" w:tplc="FFFFFFFF" w:tentative="1">
      <w:start w:val="1"/>
      <w:numFmt w:val="bullet"/>
      <w:lvlText w:val=""/>
      <w:lvlJc w:val="left"/>
      <w:pPr>
        <w:tabs>
          <w:tab w:val="num" w:pos="2880"/>
        </w:tabs>
        <w:ind w:left="2880" w:hanging="360"/>
      </w:pPr>
      <w:rPr>
        <w:rFonts w:ascii="Wingdings 3" w:hAnsi="Wingdings 3" w:hint="default"/>
      </w:rPr>
    </w:lvl>
    <w:lvl w:ilvl="4" w:tplc="FFFFFFFF" w:tentative="1">
      <w:start w:val="1"/>
      <w:numFmt w:val="bullet"/>
      <w:lvlText w:val=""/>
      <w:lvlJc w:val="left"/>
      <w:pPr>
        <w:tabs>
          <w:tab w:val="num" w:pos="3600"/>
        </w:tabs>
        <w:ind w:left="3600" w:hanging="360"/>
      </w:pPr>
      <w:rPr>
        <w:rFonts w:ascii="Wingdings 3" w:hAnsi="Wingdings 3" w:hint="default"/>
      </w:rPr>
    </w:lvl>
    <w:lvl w:ilvl="5" w:tplc="FFFFFFFF" w:tentative="1">
      <w:start w:val="1"/>
      <w:numFmt w:val="bullet"/>
      <w:lvlText w:val=""/>
      <w:lvlJc w:val="left"/>
      <w:pPr>
        <w:tabs>
          <w:tab w:val="num" w:pos="4320"/>
        </w:tabs>
        <w:ind w:left="4320" w:hanging="360"/>
      </w:pPr>
      <w:rPr>
        <w:rFonts w:ascii="Wingdings 3" w:hAnsi="Wingdings 3" w:hint="default"/>
      </w:rPr>
    </w:lvl>
    <w:lvl w:ilvl="6" w:tplc="FFFFFFFF" w:tentative="1">
      <w:start w:val="1"/>
      <w:numFmt w:val="bullet"/>
      <w:lvlText w:val=""/>
      <w:lvlJc w:val="left"/>
      <w:pPr>
        <w:tabs>
          <w:tab w:val="num" w:pos="5040"/>
        </w:tabs>
        <w:ind w:left="5040" w:hanging="360"/>
      </w:pPr>
      <w:rPr>
        <w:rFonts w:ascii="Wingdings 3" w:hAnsi="Wingdings 3" w:hint="default"/>
      </w:rPr>
    </w:lvl>
    <w:lvl w:ilvl="7" w:tplc="FFFFFFFF" w:tentative="1">
      <w:start w:val="1"/>
      <w:numFmt w:val="bullet"/>
      <w:lvlText w:val=""/>
      <w:lvlJc w:val="left"/>
      <w:pPr>
        <w:tabs>
          <w:tab w:val="num" w:pos="5760"/>
        </w:tabs>
        <w:ind w:left="5760" w:hanging="360"/>
      </w:pPr>
      <w:rPr>
        <w:rFonts w:ascii="Wingdings 3" w:hAnsi="Wingdings 3" w:hint="default"/>
      </w:rPr>
    </w:lvl>
    <w:lvl w:ilvl="8" w:tplc="FFFFFFFF" w:tentative="1">
      <w:start w:val="1"/>
      <w:numFmt w:val="bullet"/>
      <w:lvlText w:val=""/>
      <w:lvlJc w:val="left"/>
      <w:pPr>
        <w:tabs>
          <w:tab w:val="num" w:pos="6480"/>
        </w:tabs>
        <w:ind w:left="6480" w:hanging="360"/>
      </w:pPr>
      <w:rPr>
        <w:rFonts w:ascii="Wingdings 3" w:hAnsi="Wingdings 3" w:hint="default"/>
      </w:rPr>
    </w:lvl>
  </w:abstractNum>
  <w:num w:numId="1" w16cid:durableId="140730606">
    <w:abstractNumId w:val="16"/>
  </w:num>
  <w:num w:numId="2" w16cid:durableId="1719233724">
    <w:abstractNumId w:val="15"/>
  </w:num>
  <w:num w:numId="3" w16cid:durableId="342440293">
    <w:abstractNumId w:val="11"/>
  </w:num>
  <w:num w:numId="4" w16cid:durableId="1712150700">
    <w:abstractNumId w:val="15"/>
    <w:lvlOverride w:ilvl="0">
      <w:startOverride w:val="1"/>
    </w:lvlOverride>
  </w:num>
  <w:num w:numId="5" w16cid:durableId="1942180855">
    <w:abstractNumId w:val="8"/>
  </w:num>
  <w:num w:numId="6" w16cid:durableId="21831910">
    <w:abstractNumId w:val="15"/>
    <w:lvlOverride w:ilvl="0">
      <w:startOverride w:val="1"/>
    </w:lvlOverride>
  </w:num>
  <w:num w:numId="7" w16cid:durableId="2077508368">
    <w:abstractNumId w:val="21"/>
  </w:num>
  <w:num w:numId="8" w16cid:durableId="230968263">
    <w:abstractNumId w:val="18"/>
  </w:num>
  <w:num w:numId="9" w16cid:durableId="1745645019">
    <w:abstractNumId w:val="10"/>
  </w:num>
  <w:num w:numId="10" w16cid:durableId="1262684549">
    <w:abstractNumId w:val="17"/>
  </w:num>
  <w:num w:numId="11" w16cid:durableId="499395661">
    <w:abstractNumId w:val="12"/>
  </w:num>
  <w:num w:numId="12" w16cid:durableId="39282430">
    <w:abstractNumId w:val="0"/>
  </w:num>
  <w:num w:numId="13" w16cid:durableId="377242319">
    <w:abstractNumId w:val="13"/>
  </w:num>
  <w:num w:numId="14" w16cid:durableId="1133332737">
    <w:abstractNumId w:val="23"/>
  </w:num>
  <w:num w:numId="15" w16cid:durableId="563372069">
    <w:abstractNumId w:val="6"/>
  </w:num>
  <w:num w:numId="16" w16cid:durableId="1210923656">
    <w:abstractNumId w:val="4"/>
  </w:num>
  <w:num w:numId="17" w16cid:durableId="1438327813">
    <w:abstractNumId w:val="2"/>
  </w:num>
  <w:num w:numId="18" w16cid:durableId="1157451404">
    <w:abstractNumId w:val="7"/>
  </w:num>
  <w:num w:numId="19" w16cid:durableId="484929996">
    <w:abstractNumId w:val="19"/>
  </w:num>
  <w:num w:numId="20" w16cid:durableId="1830439219">
    <w:abstractNumId w:val="20"/>
  </w:num>
  <w:num w:numId="21" w16cid:durableId="2132818548">
    <w:abstractNumId w:val="9"/>
  </w:num>
  <w:num w:numId="22" w16cid:durableId="761218606">
    <w:abstractNumId w:val="1"/>
  </w:num>
  <w:num w:numId="23" w16cid:durableId="1888763605">
    <w:abstractNumId w:val="5"/>
  </w:num>
  <w:num w:numId="24" w16cid:durableId="90901431">
    <w:abstractNumId w:val="3"/>
  </w:num>
  <w:num w:numId="25" w16cid:durableId="1627272855">
    <w:abstractNumId w:val="22"/>
  </w:num>
  <w:num w:numId="26" w16cid:durableId="15288364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U1M7I0Njc3Mza3MDZT0lEKTi0uzszPAykwrAUAP+joTCwAAAA="/>
  </w:docVars>
  <w:rsids>
    <w:rsidRoot w:val="00F24F21"/>
    <w:rsid w:val="000003D4"/>
    <w:rsid w:val="0000254C"/>
    <w:rsid w:val="0000315A"/>
    <w:rsid w:val="00003533"/>
    <w:rsid w:val="0001473B"/>
    <w:rsid w:val="000231D2"/>
    <w:rsid w:val="00024223"/>
    <w:rsid w:val="00024B2F"/>
    <w:rsid w:val="0002611A"/>
    <w:rsid w:val="00027F26"/>
    <w:rsid w:val="00052A0B"/>
    <w:rsid w:val="000550EF"/>
    <w:rsid w:val="0005632B"/>
    <w:rsid w:val="00057543"/>
    <w:rsid w:val="00064346"/>
    <w:rsid w:val="00066B73"/>
    <w:rsid w:val="00067304"/>
    <w:rsid w:val="00071628"/>
    <w:rsid w:val="00074B36"/>
    <w:rsid w:val="00074EC3"/>
    <w:rsid w:val="000823F7"/>
    <w:rsid w:val="000841AF"/>
    <w:rsid w:val="000A2994"/>
    <w:rsid w:val="000A31D9"/>
    <w:rsid w:val="000B12CA"/>
    <w:rsid w:val="000B3D74"/>
    <w:rsid w:val="000B4A3C"/>
    <w:rsid w:val="000D2D2A"/>
    <w:rsid w:val="000D4455"/>
    <w:rsid w:val="000D617B"/>
    <w:rsid w:val="000D7907"/>
    <w:rsid w:val="000E3C32"/>
    <w:rsid w:val="000F21D1"/>
    <w:rsid w:val="000F6F4D"/>
    <w:rsid w:val="00103D7F"/>
    <w:rsid w:val="00113C12"/>
    <w:rsid w:val="00125990"/>
    <w:rsid w:val="00131909"/>
    <w:rsid w:val="001338DE"/>
    <w:rsid w:val="00143DB6"/>
    <w:rsid w:val="00145624"/>
    <w:rsid w:val="00145CDE"/>
    <w:rsid w:val="0014693F"/>
    <w:rsid w:val="00155234"/>
    <w:rsid w:val="0015647A"/>
    <w:rsid w:val="00161CE5"/>
    <w:rsid w:val="0017224D"/>
    <w:rsid w:val="00177AED"/>
    <w:rsid w:val="00187A7C"/>
    <w:rsid w:val="001941AC"/>
    <w:rsid w:val="001972EE"/>
    <w:rsid w:val="001B5131"/>
    <w:rsid w:val="001B7C61"/>
    <w:rsid w:val="001C1B29"/>
    <w:rsid w:val="001D2EF9"/>
    <w:rsid w:val="001D2F92"/>
    <w:rsid w:val="001D411C"/>
    <w:rsid w:val="001D4E22"/>
    <w:rsid w:val="001D75F4"/>
    <w:rsid w:val="001E073D"/>
    <w:rsid w:val="001E55B8"/>
    <w:rsid w:val="001F1FBF"/>
    <w:rsid w:val="001F73F9"/>
    <w:rsid w:val="00202121"/>
    <w:rsid w:val="00202519"/>
    <w:rsid w:val="00203AB8"/>
    <w:rsid w:val="002153A8"/>
    <w:rsid w:val="0021589F"/>
    <w:rsid w:val="00226173"/>
    <w:rsid w:val="00227454"/>
    <w:rsid w:val="002310A7"/>
    <w:rsid w:val="002333CA"/>
    <w:rsid w:val="00234029"/>
    <w:rsid w:val="00234C41"/>
    <w:rsid w:val="0023543C"/>
    <w:rsid w:val="0024007A"/>
    <w:rsid w:val="002414BE"/>
    <w:rsid w:val="00244692"/>
    <w:rsid w:val="002505EB"/>
    <w:rsid w:val="00253ECC"/>
    <w:rsid w:val="00254175"/>
    <w:rsid w:val="00256629"/>
    <w:rsid w:val="00266E06"/>
    <w:rsid w:val="00273924"/>
    <w:rsid w:val="002757E0"/>
    <w:rsid w:val="00293FEA"/>
    <w:rsid w:val="00295440"/>
    <w:rsid w:val="00297701"/>
    <w:rsid w:val="002A1041"/>
    <w:rsid w:val="002A5E22"/>
    <w:rsid w:val="002C31CF"/>
    <w:rsid w:val="002D2098"/>
    <w:rsid w:val="002E57D5"/>
    <w:rsid w:val="002E740B"/>
    <w:rsid w:val="002F2D5C"/>
    <w:rsid w:val="002F38A2"/>
    <w:rsid w:val="002F48E5"/>
    <w:rsid w:val="002F6DD1"/>
    <w:rsid w:val="00300352"/>
    <w:rsid w:val="003006DF"/>
    <w:rsid w:val="00304247"/>
    <w:rsid w:val="00311C44"/>
    <w:rsid w:val="00312AAF"/>
    <w:rsid w:val="0031312C"/>
    <w:rsid w:val="0031354B"/>
    <w:rsid w:val="00314F4B"/>
    <w:rsid w:val="0031547B"/>
    <w:rsid w:val="003202EC"/>
    <w:rsid w:val="00322007"/>
    <w:rsid w:val="00324E31"/>
    <w:rsid w:val="00330251"/>
    <w:rsid w:val="00330B13"/>
    <w:rsid w:val="00341B5D"/>
    <w:rsid w:val="00341D8B"/>
    <w:rsid w:val="003516B4"/>
    <w:rsid w:val="00353661"/>
    <w:rsid w:val="003571AC"/>
    <w:rsid w:val="00357D6F"/>
    <w:rsid w:val="0037430A"/>
    <w:rsid w:val="00377C29"/>
    <w:rsid w:val="0038340B"/>
    <w:rsid w:val="0038426F"/>
    <w:rsid w:val="003906C9"/>
    <w:rsid w:val="003939D0"/>
    <w:rsid w:val="003A201E"/>
    <w:rsid w:val="003A5FCE"/>
    <w:rsid w:val="003A7191"/>
    <w:rsid w:val="003C14DF"/>
    <w:rsid w:val="003C7B24"/>
    <w:rsid w:val="003D089C"/>
    <w:rsid w:val="003D0D75"/>
    <w:rsid w:val="003D60F6"/>
    <w:rsid w:val="003E31E2"/>
    <w:rsid w:val="003E5A26"/>
    <w:rsid w:val="003F57DF"/>
    <w:rsid w:val="004009E7"/>
    <w:rsid w:val="00407699"/>
    <w:rsid w:val="00410F25"/>
    <w:rsid w:val="004170BD"/>
    <w:rsid w:val="00422FA7"/>
    <w:rsid w:val="004230DD"/>
    <w:rsid w:val="00424311"/>
    <w:rsid w:val="00431475"/>
    <w:rsid w:val="00432A99"/>
    <w:rsid w:val="00436A11"/>
    <w:rsid w:val="0044667F"/>
    <w:rsid w:val="004471EF"/>
    <w:rsid w:val="004620DE"/>
    <w:rsid w:val="00476830"/>
    <w:rsid w:val="004773B3"/>
    <w:rsid w:val="00485F6B"/>
    <w:rsid w:val="00491A8F"/>
    <w:rsid w:val="0049439D"/>
    <w:rsid w:val="00494BC6"/>
    <w:rsid w:val="00496B38"/>
    <w:rsid w:val="00496DE7"/>
    <w:rsid w:val="004A2B62"/>
    <w:rsid w:val="004A68E0"/>
    <w:rsid w:val="004A703D"/>
    <w:rsid w:val="004B5F1F"/>
    <w:rsid w:val="004C1650"/>
    <w:rsid w:val="004D1FD9"/>
    <w:rsid w:val="004E042C"/>
    <w:rsid w:val="004E5E26"/>
    <w:rsid w:val="004F28B2"/>
    <w:rsid w:val="00502E67"/>
    <w:rsid w:val="00504048"/>
    <w:rsid w:val="00506C3E"/>
    <w:rsid w:val="005161CF"/>
    <w:rsid w:val="00522AB1"/>
    <w:rsid w:val="0052422C"/>
    <w:rsid w:val="0053208E"/>
    <w:rsid w:val="00533D44"/>
    <w:rsid w:val="00535DCF"/>
    <w:rsid w:val="005419F1"/>
    <w:rsid w:val="0055128A"/>
    <w:rsid w:val="00551346"/>
    <w:rsid w:val="005521B9"/>
    <w:rsid w:val="005547A5"/>
    <w:rsid w:val="005712AB"/>
    <w:rsid w:val="00596307"/>
    <w:rsid w:val="005A601A"/>
    <w:rsid w:val="005A6FC6"/>
    <w:rsid w:val="005B063B"/>
    <w:rsid w:val="005B626E"/>
    <w:rsid w:val="005B635B"/>
    <w:rsid w:val="005B6F7F"/>
    <w:rsid w:val="005C0251"/>
    <w:rsid w:val="005C42F6"/>
    <w:rsid w:val="005C65A0"/>
    <w:rsid w:val="005C77F0"/>
    <w:rsid w:val="005C785C"/>
    <w:rsid w:val="005D0752"/>
    <w:rsid w:val="005D2414"/>
    <w:rsid w:val="005D3377"/>
    <w:rsid w:val="005F403A"/>
    <w:rsid w:val="0060019D"/>
    <w:rsid w:val="006005E5"/>
    <w:rsid w:val="0060606F"/>
    <w:rsid w:val="00606978"/>
    <w:rsid w:val="00607795"/>
    <w:rsid w:val="00613E32"/>
    <w:rsid w:val="00626935"/>
    <w:rsid w:val="00626D5F"/>
    <w:rsid w:val="00631547"/>
    <w:rsid w:val="00634A56"/>
    <w:rsid w:val="00635A95"/>
    <w:rsid w:val="00635DED"/>
    <w:rsid w:val="00635F45"/>
    <w:rsid w:val="006360BC"/>
    <w:rsid w:val="00640AF3"/>
    <w:rsid w:val="00643943"/>
    <w:rsid w:val="00644D17"/>
    <w:rsid w:val="00651BEC"/>
    <w:rsid w:val="00660FB5"/>
    <w:rsid w:val="006654CC"/>
    <w:rsid w:val="00667C63"/>
    <w:rsid w:val="00672EC5"/>
    <w:rsid w:val="00677AF2"/>
    <w:rsid w:val="0068091C"/>
    <w:rsid w:val="006832CF"/>
    <w:rsid w:val="006855CE"/>
    <w:rsid w:val="00686150"/>
    <w:rsid w:val="00686F8E"/>
    <w:rsid w:val="00691D83"/>
    <w:rsid w:val="00693FC1"/>
    <w:rsid w:val="00697A8B"/>
    <w:rsid w:val="006A190A"/>
    <w:rsid w:val="006B1992"/>
    <w:rsid w:val="006B6B86"/>
    <w:rsid w:val="006D32CA"/>
    <w:rsid w:val="006D7AA8"/>
    <w:rsid w:val="006D7B8A"/>
    <w:rsid w:val="006E0CFA"/>
    <w:rsid w:val="006E1E73"/>
    <w:rsid w:val="006E575A"/>
    <w:rsid w:val="006F065F"/>
    <w:rsid w:val="00704F82"/>
    <w:rsid w:val="007053E2"/>
    <w:rsid w:val="00711636"/>
    <w:rsid w:val="00711E4A"/>
    <w:rsid w:val="007206E7"/>
    <w:rsid w:val="00721AE0"/>
    <w:rsid w:val="00726819"/>
    <w:rsid w:val="00735DFD"/>
    <w:rsid w:val="00735E9B"/>
    <w:rsid w:val="00742DB0"/>
    <w:rsid w:val="00743AE2"/>
    <w:rsid w:val="0074409C"/>
    <w:rsid w:val="00745174"/>
    <w:rsid w:val="0075130C"/>
    <w:rsid w:val="007815E3"/>
    <w:rsid w:val="00797542"/>
    <w:rsid w:val="007A02DF"/>
    <w:rsid w:val="007A44D1"/>
    <w:rsid w:val="007A5C9F"/>
    <w:rsid w:val="007B01FE"/>
    <w:rsid w:val="007B1BA2"/>
    <w:rsid w:val="007B3B96"/>
    <w:rsid w:val="007B51CE"/>
    <w:rsid w:val="007B5618"/>
    <w:rsid w:val="007B5DD0"/>
    <w:rsid w:val="007C21E2"/>
    <w:rsid w:val="007C5531"/>
    <w:rsid w:val="007C70C6"/>
    <w:rsid w:val="007D06C9"/>
    <w:rsid w:val="007D3A0C"/>
    <w:rsid w:val="007D58FC"/>
    <w:rsid w:val="007D7CEF"/>
    <w:rsid w:val="007F1B7C"/>
    <w:rsid w:val="007F3E54"/>
    <w:rsid w:val="007F6A8A"/>
    <w:rsid w:val="00802E95"/>
    <w:rsid w:val="008034E4"/>
    <w:rsid w:val="00804AE7"/>
    <w:rsid w:val="00813502"/>
    <w:rsid w:val="00830E10"/>
    <w:rsid w:val="008370CF"/>
    <w:rsid w:val="00843B1E"/>
    <w:rsid w:val="00844469"/>
    <w:rsid w:val="00850E08"/>
    <w:rsid w:val="00850E2B"/>
    <w:rsid w:val="00852407"/>
    <w:rsid w:val="00860BCD"/>
    <w:rsid w:val="008677B3"/>
    <w:rsid w:val="00876C68"/>
    <w:rsid w:val="008842A2"/>
    <w:rsid w:val="008878F7"/>
    <w:rsid w:val="00896F6D"/>
    <w:rsid w:val="00897C69"/>
    <w:rsid w:val="008A4602"/>
    <w:rsid w:val="008A6B79"/>
    <w:rsid w:val="008B57B8"/>
    <w:rsid w:val="008B5AD3"/>
    <w:rsid w:val="008C7BD6"/>
    <w:rsid w:val="008F40D9"/>
    <w:rsid w:val="008F4EDD"/>
    <w:rsid w:val="008F64ED"/>
    <w:rsid w:val="008F6F58"/>
    <w:rsid w:val="00900D77"/>
    <w:rsid w:val="00903D2F"/>
    <w:rsid w:val="00904343"/>
    <w:rsid w:val="00905ED6"/>
    <w:rsid w:val="00907341"/>
    <w:rsid w:val="00915A05"/>
    <w:rsid w:val="009338AE"/>
    <w:rsid w:val="009363DB"/>
    <w:rsid w:val="0094024C"/>
    <w:rsid w:val="00940962"/>
    <w:rsid w:val="00942E9D"/>
    <w:rsid w:val="00943A3D"/>
    <w:rsid w:val="00951EFF"/>
    <w:rsid w:val="00954776"/>
    <w:rsid w:val="00955D0E"/>
    <w:rsid w:val="00957090"/>
    <w:rsid w:val="00961EE9"/>
    <w:rsid w:val="009652FB"/>
    <w:rsid w:val="00970099"/>
    <w:rsid w:val="00972D4F"/>
    <w:rsid w:val="009770B2"/>
    <w:rsid w:val="009775EE"/>
    <w:rsid w:val="00982AF0"/>
    <w:rsid w:val="009852B3"/>
    <w:rsid w:val="00985902"/>
    <w:rsid w:val="009914F7"/>
    <w:rsid w:val="00992005"/>
    <w:rsid w:val="009A0E42"/>
    <w:rsid w:val="009A3429"/>
    <w:rsid w:val="009A38B0"/>
    <w:rsid w:val="009A5CDB"/>
    <w:rsid w:val="009B41DA"/>
    <w:rsid w:val="009B4393"/>
    <w:rsid w:val="009C1C66"/>
    <w:rsid w:val="009C7CD7"/>
    <w:rsid w:val="009D37D0"/>
    <w:rsid w:val="009D4777"/>
    <w:rsid w:val="009D695E"/>
    <w:rsid w:val="009F23BA"/>
    <w:rsid w:val="009F605E"/>
    <w:rsid w:val="00A24E79"/>
    <w:rsid w:val="00A33E9E"/>
    <w:rsid w:val="00A4192D"/>
    <w:rsid w:val="00A41E68"/>
    <w:rsid w:val="00A477C0"/>
    <w:rsid w:val="00A503BD"/>
    <w:rsid w:val="00A53B5E"/>
    <w:rsid w:val="00A60B88"/>
    <w:rsid w:val="00A63353"/>
    <w:rsid w:val="00A65A0C"/>
    <w:rsid w:val="00A710F1"/>
    <w:rsid w:val="00A722FC"/>
    <w:rsid w:val="00A74134"/>
    <w:rsid w:val="00A807D8"/>
    <w:rsid w:val="00A93137"/>
    <w:rsid w:val="00A93B3C"/>
    <w:rsid w:val="00A959D1"/>
    <w:rsid w:val="00A96C84"/>
    <w:rsid w:val="00AA0368"/>
    <w:rsid w:val="00AA2124"/>
    <w:rsid w:val="00AA3A00"/>
    <w:rsid w:val="00AA609F"/>
    <w:rsid w:val="00AB0D23"/>
    <w:rsid w:val="00AB169A"/>
    <w:rsid w:val="00AB517B"/>
    <w:rsid w:val="00AB5BB4"/>
    <w:rsid w:val="00AC7BD1"/>
    <w:rsid w:val="00AD3C47"/>
    <w:rsid w:val="00AD590B"/>
    <w:rsid w:val="00AD67BC"/>
    <w:rsid w:val="00AE5F26"/>
    <w:rsid w:val="00AF3503"/>
    <w:rsid w:val="00B23C2D"/>
    <w:rsid w:val="00B276D7"/>
    <w:rsid w:val="00B3216E"/>
    <w:rsid w:val="00B32FB2"/>
    <w:rsid w:val="00B333CA"/>
    <w:rsid w:val="00B338FC"/>
    <w:rsid w:val="00B33D59"/>
    <w:rsid w:val="00B35BA2"/>
    <w:rsid w:val="00B4235C"/>
    <w:rsid w:val="00B441FB"/>
    <w:rsid w:val="00B50F0B"/>
    <w:rsid w:val="00B563FF"/>
    <w:rsid w:val="00B57B7C"/>
    <w:rsid w:val="00B80CA2"/>
    <w:rsid w:val="00BA3DC6"/>
    <w:rsid w:val="00BA3F2E"/>
    <w:rsid w:val="00BA5DA9"/>
    <w:rsid w:val="00BA698F"/>
    <w:rsid w:val="00BA7A9B"/>
    <w:rsid w:val="00BB27E5"/>
    <w:rsid w:val="00BB4DA1"/>
    <w:rsid w:val="00BC6AFB"/>
    <w:rsid w:val="00BD275E"/>
    <w:rsid w:val="00BE0F9A"/>
    <w:rsid w:val="00BE39EB"/>
    <w:rsid w:val="00BE407B"/>
    <w:rsid w:val="00BF01F6"/>
    <w:rsid w:val="00BF33D2"/>
    <w:rsid w:val="00BF4047"/>
    <w:rsid w:val="00C004AE"/>
    <w:rsid w:val="00C06E82"/>
    <w:rsid w:val="00C10C63"/>
    <w:rsid w:val="00C15186"/>
    <w:rsid w:val="00C176A9"/>
    <w:rsid w:val="00C211EE"/>
    <w:rsid w:val="00C230BC"/>
    <w:rsid w:val="00C23400"/>
    <w:rsid w:val="00C24CD7"/>
    <w:rsid w:val="00C3740F"/>
    <w:rsid w:val="00C429B2"/>
    <w:rsid w:val="00C4408D"/>
    <w:rsid w:val="00C53547"/>
    <w:rsid w:val="00C53EE5"/>
    <w:rsid w:val="00C5412A"/>
    <w:rsid w:val="00C60798"/>
    <w:rsid w:val="00C62827"/>
    <w:rsid w:val="00C65FEF"/>
    <w:rsid w:val="00C66A0C"/>
    <w:rsid w:val="00C71B3B"/>
    <w:rsid w:val="00C92AF9"/>
    <w:rsid w:val="00C964EC"/>
    <w:rsid w:val="00CA0B63"/>
    <w:rsid w:val="00CA73DC"/>
    <w:rsid w:val="00CB51F0"/>
    <w:rsid w:val="00CC204B"/>
    <w:rsid w:val="00CC2567"/>
    <w:rsid w:val="00CC5984"/>
    <w:rsid w:val="00CC5DA9"/>
    <w:rsid w:val="00CC65BD"/>
    <w:rsid w:val="00CD2425"/>
    <w:rsid w:val="00CD4ED3"/>
    <w:rsid w:val="00CD5EFA"/>
    <w:rsid w:val="00CD6628"/>
    <w:rsid w:val="00CE339B"/>
    <w:rsid w:val="00CE378D"/>
    <w:rsid w:val="00CF0508"/>
    <w:rsid w:val="00CF1689"/>
    <w:rsid w:val="00CF397A"/>
    <w:rsid w:val="00D17725"/>
    <w:rsid w:val="00D23074"/>
    <w:rsid w:val="00D338A2"/>
    <w:rsid w:val="00D35979"/>
    <w:rsid w:val="00D4525C"/>
    <w:rsid w:val="00D4767F"/>
    <w:rsid w:val="00D506F4"/>
    <w:rsid w:val="00D514A3"/>
    <w:rsid w:val="00D53BF6"/>
    <w:rsid w:val="00D54129"/>
    <w:rsid w:val="00D550B7"/>
    <w:rsid w:val="00D704B2"/>
    <w:rsid w:val="00D74A3A"/>
    <w:rsid w:val="00D84059"/>
    <w:rsid w:val="00D8786C"/>
    <w:rsid w:val="00DA4EDD"/>
    <w:rsid w:val="00DB4780"/>
    <w:rsid w:val="00DC3C92"/>
    <w:rsid w:val="00DD1E34"/>
    <w:rsid w:val="00DD4B7D"/>
    <w:rsid w:val="00DF003F"/>
    <w:rsid w:val="00DF466D"/>
    <w:rsid w:val="00E0499B"/>
    <w:rsid w:val="00E04AF7"/>
    <w:rsid w:val="00E109C1"/>
    <w:rsid w:val="00E13C79"/>
    <w:rsid w:val="00E1446A"/>
    <w:rsid w:val="00E21DF7"/>
    <w:rsid w:val="00E24682"/>
    <w:rsid w:val="00E30556"/>
    <w:rsid w:val="00E32121"/>
    <w:rsid w:val="00E3288E"/>
    <w:rsid w:val="00E352A5"/>
    <w:rsid w:val="00E37A97"/>
    <w:rsid w:val="00E40A10"/>
    <w:rsid w:val="00E43699"/>
    <w:rsid w:val="00E55112"/>
    <w:rsid w:val="00E557D5"/>
    <w:rsid w:val="00E55AB1"/>
    <w:rsid w:val="00E61382"/>
    <w:rsid w:val="00E63CA6"/>
    <w:rsid w:val="00E74A03"/>
    <w:rsid w:val="00E812FE"/>
    <w:rsid w:val="00E87979"/>
    <w:rsid w:val="00E91EF2"/>
    <w:rsid w:val="00EB4EB5"/>
    <w:rsid w:val="00EB527D"/>
    <w:rsid w:val="00EB5868"/>
    <w:rsid w:val="00EB6792"/>
    <w:rsid w:val="00EC41E6"/>
    <w:rsid w:val="00EC6576"/>
    <w:rsid w:val="00ED668E"/>
    <w:rsid w:val="00EE4961"/>
    <w:rsid w:val="00F0580B"/>
    <w:rsid w:val="00F16159"/>
    <w:rsid w:val="00F17711"/>
    <w:rsid w:val="00F20027"/>
    <w:rsid w:val="00F24F21"/>
    <w:rsid w:val="00F279D8"/>
    <w:rsid w:val="00F30316"/>
    <w:rsid w:val="00F42391"/>
    <w:rsid w:val="00F44A79"/>
    <w:rsid w:val="00F5397E"/>
    <w:rsid w:val="00F55C94"/>
    <w:rsid w:val="00F6406B"/>
    <w:rsid w:val="00F6789C"/>
    <w:rsid w:val="00F67CD9"/>
    <w:rsid w:val="00F71874"/>
    <w:rsid w:val="00F90362"/>
    <w:rsid w:val="00FA3133"/>
    <w:rsid w:val="00FA3E95"/>
    <w:rsid w:val="00FC279E"/>
    <w:rsid w:val="00FD3ECF"/>
    <w:rsid w:val="00FD5A5F"/>
    <w:rsid w:val="00FD5D6E"/>
    <w:rsid w:val="00FF14F6"/>
    <w:rsid w:val="00FF249A"/>
    <w:rsid w:val="00FF2605"/>
    <w:rsid w:val="00FF3A4D"/>
    <w:rsid w:val="00FF7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1DC341"/>
  <w15:chartTrackingRefBased/>
  <w15:docId w15:val="{8D7F30C2-BDC2-44A3-9B54-FD12358CC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2"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247"/>
  </w:style>
  <w:style w:type="paragraph" w:styleId="Heading1">
    <w:name w:val="heading 1"/>
    <w:basedOn w:val="Normal"/>
    <w:next w:val="Normal"/>
    <w:link w:val="Heading1Char"/>
    <w:uiPriority w:val="9"/>
    <w:qFormat/>
    <w:rsid w:val="00E40A10"/>
    <w:pPr>
      <w:keepNext/>
      <w:keepLines/>
      <w:spacing w:before="480" w:after="240" w:line="228" w:lineRule="auto"/>
      <w:outlineLvl w:val="0"/>
    </w:pPr>
    <w:rPr>
      <w:rFonts w:eastAsiaTheme="majorEastAsia" w:cstheme="minorHAnsi"/>
      <w:b/>
      <w:color w:val="9E1C30" w:themeColor="accent5"/>
      <w:sz w:val="60"/>
      <w:szCs w:val="60"/>
    </w:rPr>
  </w:style>
  <w:style w:type="paragraph" w:styleId="Heading2">
    <w:name w:val="heading 2"/>
    <w:basedOn w:val="Normal"/>
    <w:next w:val="Normal"/>
    <w:link w:val="Heading2Char"/>
    <w:uiPriority w:val="9"/>
    <w:unhideWhenUsed/>
    <w:qFormat/>
    <w:rsid w:val="007A5C9F"/>
    <w:pPr>
      <w:keepNext/>
      <w:keepLines/>
      <w:pBdr>
        <w:bottom w:val="single" w:sz="36" w:space="1" w:color="7A232F" w:themeColor="accent2"/>
      </w:pBdr>
      <w:spacing w:before="600" w:after="240"/>
      <w:outlineLvl w:val="1"/>
    </w:pPr>
    <w:rPr>
      <w:rFonts w:eastAsiaTheme="majorEastAsia" w:cstheme="minorHAnsi"/>
      <w:b/>
      <w:bCs/>
      <w:color w:val="242021" w:themeColor="text1"/>
      <w:sz w:val="36"/>
      <w:szCs w:val="26"/>
    </w:rPr>
  </w:style>
  <w:style w:type="paragraph" w:styleId="Heading3">
    <w:name w:val="heading 3"/>
    <w:basedOn w:val="Normal"/>
    <w:next w:val="Normal"/>
    <w:link w:val="Heading3Char"/>
    <w:uiPriority w:val="9"/>
    <w:unhideWhenUsed/>
    <w:qFormat/>
    <w:rsid w:val="007206E7"/>
    <w:pPr>
      <w:keepNext/>
      <w:keepLines/>
      <w:pBdr>
        <w:top w:val="single" w:sz="4" w:space="1" w:color="D9DDDD" w:themeColor="background2" w:themeShade="E6"/>
        <w:left w:val="single" w:sz="4" w:space="4" w:color="D9DDDD" w:themeColor="background2" w:themeShade="E6"/>
        <w:bottom w:val="single" w:sz="4" w:space="1" w:color="D9DDDD" w:themeColor="background2" w:themeShade="E6"/>
        <w:right w:val="single" w:sz="4" w:space="4" w:color="D9DDDD" w:themeColor="background2" w:themeShade="E6"/>
      </w:pBdr>
      <w:shd w:val="clear" w:color="auto" w:fill="F3F4F4" w:themeFill="background2"/>
      <w:spacing w:before="360" w:after="120"/>
      <w:ind w:left="101" w:right="101"/>
      <w:outlineLvl w:val="2"/>
    </w:pPr>
    <w:rPr>
      <w:rFonts w:eastAsiaTheme="majorEastAsia" w:cstheme="minorHAnsi"/>
      <w:b/>
      <w:color w:val="2C5261" w:themeColor="accent1"/>
      <w:sz w:val="29"/>
      <w:szCs w:val="29"/>
    </w:rPr>
  </w:style>
  <w:style w:type="paragraph" w:styleId="Heading4">
    <w:name w:val="heading 4"/>
    <w:basedOn w:val="Normal"/>
    <w:next w:val="Normal"/>
    <w:link w:val="Heading4Char"/>
    <w:uiPriority w:val="9"/>
    <w:unhideWhenUsed/>
    <w:qFormat/>
    <w:rsid w:val="005D0752"/>
    <w:pPr>
      <w:keepNext/>
      <w:keepLines/>
      <w:spacing w:before="240" w:after="80"/>
      <w:outlineLvl w:val="3"/>
    </w:pPr>
    <w:rPr>
      <w:rFonts w:asciiTheme="majorHAnsi" w:eastAsiaTheme="majorEastAsia" w:hAnsiTheme="majorHAnsi" w:cstheme="minorHAnsi"/>
      <w:color w:val="9E1C30" w:themeColor="accent5"/>
      <w:sz w:val="28"/>
      <w:szCs w:val="28"/>
    </w:rPr>
  </w:style>
  <w:style w:type="paragraph" w:styleId="Heading5">
    <w:name w:val="heading 5"/>
    <w:basedOn w:val="Normal"/>
    <w:next w:val="Normal"/>
    <w:link w:val="Heading5Char"/>
    <w:uiPriority w:val="9"/>
    <w:unhideWhenUsed/>
    <w:qFormat/>
    <w:rsid w:val="00DA4EDD"/>
    <w:pPr>
      <w:keepNext/>
      <w:keepLines/>
      <w:pBdr>
        <w:top w:val="single" w:sz="2" w:space="1" w:color="FFFFFF" w:themeColor="background1"/>
        <w:left w:val="single" w:sz="36" w:space="4" w:color="9E1C30" w:themeColor="accent5"/>
        <w:bottom w:val="single" w:sz="2" w:space="1" w:color="FFFFFF" w:themeColor="background1"/>
      </w:pBdr>
      <w:spacing w:before="240" w:after="80" w:line="216" w:lineRule="auto"/>
      <w:ind w:left="173"/>
      <w:outlineLvl w:val="4"/>
    </w:pPr>
    <w:rPr>
      <w:rFonts w:eastAsiaTheme="majorEastAsia" w:cstheme="minorHAnsi"/>
      <w:b/>
      <w:bCs/>
      <w:color w:val="242021"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PSTableDark">
    <w:name w:val="GPS Table: Dark"/>
    <w:basedOn w:val="GridTable4-Accent3"/>
    <w:uiPriority w:val="99"/>
    <w:rsid w:val="00314F4B"/>
    <w:pPr>
      <w:jc w:val="center"/>
    </w:pPr>
    <w:tblPr/>
    <w:trPr>
      <w:cantSplit/>
    </w:trPr>
    <w:tcPr>
      <w:vAlign w:val="center"/>
    </w:tcPr>
    <w:tblStylePr w:type="firstRow">
      <w:rPr>
        <w:b/>
        <w:bCs/>
        <w:color w:val="FFFFFF" w:themeColor="background1"/>
      </w:rPr>
      <w:tblPr/>
      <w:tcPr>
        <w:tcBorders>
          <w:top w:val="single" w:sz="4" w:space="0" w:color="213D48" w:themeColor="accent1" w:themeShade="BF"/>
          <w:left w:val="single" w:sz="4" w:space="0" w:color="213D48" w:themeColor="accent1" w:themeShade="BF"/>
          <w:bottom w:val="single" w:sz="4" w:space="0" w:color="213D48" w:themeColor="accent1" w:themeShade="BF"/>
          <w:right w:val="single" w:sz="4" w:space="0" w:color="213D48" w:themeColor="accent1" w:themeShade="BF"/>
          <w:insideH w:val="single" w:sz="4" w:space="0" w:color="213D48" w:themeColor="accent1" w:themeShade="BF"/>
          <w:insideV w:val="single" w:sz="4" w:space="0" w:color="213D48" w:themeColor="accent1" w:themeShade="BF"/>
          <w:tl2br w:val="nil"/>
          <w:tr2bl w:val="nil"/>
        </w:tcBorders>
        <w:shd w:val="clear" w:color="auto" w:fill="2C5261" w:themeFill="accent1"/>
      </w:tcPr>
    </w:tblStylePr>
    <w:tblStylePr w:type="lastRow">
      <w:rPr>
        <w:b/>
        <w:bCs/>
        <w:color w:val="FFFFFF" w:themeColor="background1"/>
      </w:rPr>
      <w:tblPr/>
      <w:tcPr>
        <w:tcBorders>
          <w:top w:val="double" w:sz="4" w:space="0" w:color="303030" w:themeColor="accent3"/>
          <w:bottom w:val="single" w:sz="4" w:space="0" w:color="2C5261" w:themeColor="accent1"/>
        </w:tcBorders>
        <w:shd w:val="clear" w:color="auto" w:fill="7A232F" w:themeFill="accent2"/>
      </w:tcPr>
    </w:tblStylePr>
    <w:tblStylePr w:type="firstCol">
      <w:rPr>
        <w:b/>
        <w:bCs/>
        <w:color w:val="FFFFFF" w:themeColor="background1"/>
      </w:rPr>
      <w:tblPr/>
      <w:tcPr>
        <w:tcBorders>
          <w:top w:val="nil"/>
          <w:left w:val="nil"/>
          <w:bottom w:val="single" w:sz="4" w:space="0" w:color="2C5261" w:themeColor="accent1"/>
          <w:right w:val="nil"/>
          <w:insideH w:val="nil"/>
          <w:insideV w:val="nil"/>
          <w:tl2br w:val="nil"/>
          <w:tr2bl w:val="nil"/>
        </w:tcBorders>
        <w:shd w:val="clear" w:color="auto" w:fill="162830" w:themeFill="accent1" w:themeFillShade="80"/>
      </w:tcPr>
    </w:tblStylePr>
    <w:tblStylePr w:type="lastCol">
      <w:rPr>
        <w:b/>
        <w:bCs/>
      </w:rPr>
      <w:tblPr/>
      <w:tcPr>
        <w:tcBorders>
          <w:top w:val="nil"/>
          <w:left w:val="nil"/>
          <w:bottom w:val="single" w:sz="4" w:space="0" w:color="2C5261" w:themeColor="accent1"/>
          <w:right w:val="nil"/>
          <w:insideH w:val="nil"/>
          <w:insideV w:val="nil"/>
          <w:tl2br w:val="nil"/>
          <w:tr2bl w:val="nil"/>
        </w:tcBorders>
        <w:shd w:val="clear" w:color="auto" w:fill="162830" w:themeFill="accent1" w:themeFillShade="80"/>
      </w:tcPr>
    </w:tblStylePr>
    <w:tblStylePr w:type="band1Vert">
      <w:tblPr/>
      <w:tcPr>
        <w:shd w:val="clear" w:color="auto" w:fill="D5D5D5" w:themeFill="accent3" w:themeFillTint="33"/>
      </w:tcPr>
    </w:tblStylePr>
    <w:tblStylePr w:type="band1Horz">
      <w:tblPr/>
      <w:tcPr>
        <w:shd w:val="clear" w:color="auto" w:fill="F2F2F2" w:themeFill="background1" w:themeFillShade="F2"/>
      </w:tcPr>
    </w:tblStylePr>
  </w:style>
  <w:style w:type="table" w:styleId="GridTable4-Accent3">
    <w:name w:val="Grid Table 4 Accent 3"/>
    <w:basedOn w:val="TableNormal"/>
    <w:uiPriority w:val="49"/>
    <w:rsid w:val="0037430A"/>
    <w:pPr>
      <w:spacing w:after="0" w:line="240" w:lineRule="auto"/>
    </w:pPr>
    <w:tblPr>
      <w:tblStyleRowBandSize w:val="1"/>
      <w:tblStyleColBandSize w:val="1"/>
      <w:tblBorders>
        <w:top w:val="single" w:sz="4" w:space="0" w:color="828282" w:themeColor="accent3" w:themeTint="99"/>
        <w:left w:val="single" w:sz="4" w:space="0" w:color="828282" w:themeColor="accent3" w:themeTint="99"/>
        <w:bottom w:val="single" w:sz="4" w:space="0" w:color="828282" w:themeColor="accent3" w:themeTint="99"/>
        <w:right w:val="single" w:sz="4" w:space="0" w:color="828282" w:themeColor="accent3" w:themeTint="99"/>
        <w:insideH w:val="single" w:sz="4" w:space="0" w:color="828282" w:themeColor="accent3" w:themeTint="99"/>
        <w:insideV w:val="single" w:sz="4" w:space="0" w:color="828282" w:themeColor="accent3" w:themeTint="99"/>
      </w:tblBorders>
    </w:tblPr>
    <w:tblStylePr w:type="firstRow">
      <w:rPr>
        <w:b/>
        <w:bCs/>
        <w:color w:val="FFFFFF" w:themeColor="background1"/>
      </w:rPr>
      <w:tblPr/>
      <w:tcPr>
        <w:tcBorders>
          <w:top w:val="single" w:sz="4" w:space="0" w:color="303030" w:themeColor="accent3"/>
          <w:left w:val="single" w:sz="4" w:space="0" w:color="303030" w:themeColor="accent3"/>
          <w:bottom w:val="single" w:sz="4" w:space="0" w:color="303030" w:themeColor="accent3"/>
          <w:right w:val="single" w:sz="4" w:space="0" w:color="303030" w:themeColor="accent3"/>
          <w:insideH w:val="nil"/>
          <w:insideV w:val="nil"/>
        </w:tcBorders>
        <w:shd w:val="clear" w:color="auto" w:fill="303030" w:themeFill="accent3"/>
      </w:tcPr>
    </w:tblStylePr>
    <w:tblStylePr w:type="lastRow">
      <w:rPr>
        <w:b/>
        <w:bCs/>
      </w:rPr>
      <w:tblPr/>
      <w:tcPr>
        <w:tcBorders>
          <w:top w:val="double" w:sz="4" w:space="0" w:color="303030" w:themeColor="accent3"/>
        </w:tcBorders>
      </w:tcPr>
    </w:tblStylePr>
    <w:tblStylePr w:type="firstCol">
      <w:rPr>
        <w:b/>
        <w:bCs/>
      </w:rPr>
    </w:tblStylePr>
    <w:tblStylePr w:type="lastCol">
      <w:rPr>
        <w:b/>
        <w:bCs/>
      </w:rPr>
    </w:tblStylePr>
    <w:tblStylePr w:type="band1Vert">
      <w:tblPr/>
      <w:tcPr>
        <w:shd w:val="clear" w:color="auto" w:fill="D5D5D5" w:themeFill="accent3" w:themeFillTint="33"/>
      </w:tcPr>
    </w:tblStylePr>
    <w:tblStylePr w:type="band1Horz">
      <w:tblPr/>
      <w:tcPr>
        <w:shd w:val="clear" w:color="auto" w:fill="D5D5D5" w:themeFill="accent3" w:themeFillTint="33"/>
      </w:tcPr>
    </w:tblStylePr>
  </w:style>
  <w:style w:type="character" w:customStyle="1" w:styleId="Heading1Char">
    <w:name w:val="Heading 1 Char"/>
    <w:basedOn w:val="DefaultParagraphFont"/>
    <w:link w:val="Heading1"/>
    <w:uiPriority w:val="9"/>
    <w:rsid w:val="00E40A10"/>
    <w:rPr>
      <w:rFonts w:eastAsiaTheme="majorEastAsia" w:cstheme="minorHAnsi"/>
      <w:b/>
      <w:color w:val="9E1C30" w:themeColor="accent5"/>
      <w:sz w:val="60"/>
      <w:szCs w:val="60"/>
    </w:rPr>
  </w:style>
  <w:style w:type="paragraph" w:styleId="Subtitle">
    <w:name w:val="Subtitle"/>
    <w:basedOn w:val="Heading3"/>
    <w:next w:val="Normal"/>
    <w:link w:val="SubtitleChar"/>
    <w:uiPriority w:val="10"/>
    <w:qFormat/>
    <w:rsid w:val="002757E0"/>
    <w:pPr>
      <w:pBdr>
        <w:top w:val="none" w:sz="0" w:space="0" w:color="auto"/>
        <w:left w:val="none" w:sz="0" w:space="0" w:color="auto"/>
        <w:right w:val="none" w:sz="0" w:space="0" w:color="auto"/>
      </w:pBdr>
      <w:shd w:val="clear" w:color="auto" w:fill="auto"/>
    </w:pPr>
    <w:rPr>
      <w:color w:val="005A7C" w:themeColor="accent6"/>
      <w:spacing w:val="10"/>
      <w:sz w:val="34"/>
      <w:szCs w:val="34"/>
    </w:rPr>
  </w:style>
  <w:style w:type="character" w:customStyle="1" w:styleId="SubtitleChar">
    <w:name w:val="Subtitle Char"/>
    <w:basedOn w:val="DefaultParagraphFont"/>
    <w:link w:val="Subtitle"/>
    <w:uiPriority w:val="10"/>
    <w:rsid w:val="002757E0"/>
    <w:rPr>
      <w:rFonts w:eastAsiaTheme="majorEastAsia" w:cstheme="minorHAnsi"/>
      <w:b/>
      <w:color w:val="005A7C" w:themeColor="accent6"/>
      <w:spacing w:val="10"/>
      <w:sz w:val="34"/>
      <w:szCs w:val="34"/>
    </w:rPr>
  </w:style>
  <w:style w:type="character" w:customStyle="1" w:styleId="Heading2Char">
    <w:name w:val="Heading 2 Char"/>
    <w:basedOn w:val="DefaultParagraphFont"/>
    <w:link w:val="Heading2"/>
    <w:uiPriority w:val="9"/>
    <w:rsid w:val="007A5C9F"/>
    <w:rPr>
      <w:rFonts w:eastAsiaTheme="majorEastAsia" w:cstheme="minorHAnsi"/>
      <w:b/>
      <w:bCs/>
      <w:color w:val="242021" w:themeColor="text1"/>
      <w:sz w:val="36"/>
      <w:szCs w:val="26"/>
    </w:rPr>
  </w:style>
  <w:style w:type="paragraph" w:styleId="Header">
    <w:name w:val="header"/>
    <w:basedOn w:val="Normal"/>
    <w:link w:val="HeaderChar"/>
    <w:uiPriority w:val="99"/>
    <w:unhideWhenUsed/>
    <w:qFormat/>
    <w:rsid w:val="005D2414"/>
    <w:pPr>
      <w:tabs>
        <w:tab w:val="right" w:pos="9720"/>
      </w:tabs>
      <w:spacing w:after="1080" w:line="240" w:lineRule="auto"/>
      <w:ind w:left="-360" w:right="2520"/>
    </w:pPr>
    <w:rPr>
      <w:rFonts w:asciiTheme="majorHAnsi" w:hAnsiTheme="majorHAnsi"/>
      <w:bCs/>
      <w:noProof/>
      <w:color w:val="2C5261" w:themeColor="accent1"/>
    </w:rPr>
  </w:style>
  <w:style w:type="character" w:customStyle="1" w:styleId="HeaderChar">
    <w:name w:val="Header Char"/>
    <w:basedOn w:val="DefaultParagraphFont"/>
    <w:link w:val="Header"/>
    <w:uiPriority w:val="99"/>
    <w:rsid w:val="005D2414"/>
    <w:rPr>
      <w:rFonts w:asciiTheme="majorHAnsi" w:hAnsiTheme="majorHAnsi"/>
      <w:bCs/>
      <w:noProof/>
      <w:color w:val="2C5261" w:themeColor="accent1"/>
    </w:rPr>
  </w:style>
  <w:style w:type="paragraph" w:styleId="Footer">
    <w:name w:val="footer"/>
    <w:basedOn w:val="Normal"/>
    <w:link w:val="FooterChar"/>
    <w:uiPriority w:val="99"/>
    <w:unhideWhenUsed/>
    <w:qFormat/>
    <w:rsid w:val="005D2414"/>
    <w:pPr>
      <w:spacing w:after="0" w:line="240" w:lineRule="auto"/>
      <w:ind w:left="-360" w:right="-360"/>
    </w:pPr>
    <w:rPr>
      <w:noProof/>
      <w:color w:val="7A232F" w:themeColor="accent2"/>
      <w:sz w:val="21"/>
      <w:szCs w:val="21"/>
    </w:rPr>
  </w:style>
  <w:style w:type="character" w:customStyle="1" w:styleId="FooterChar">
    <w:name w:val="Footer Char"/>
    <w:basedOn w:val="DefaultParagraphFont"/>
    <w:link w:val="Footer"/>
    <w:uiPriority w:val="99"/>
    <w:rsid w:val="005D2414"/>
    <w:rPr>
      <w:noProof/>
      <w:color w:val="7A232F" w:themeColor="accent2"/>
      <w:sz w:val="21"/>
      <w:szCs w:val="21"/>
    </w:rPr>
  </w:style>
  <w:style w:type="character" w:styleId="Hyperlink">
    <w:name w:val="Hyperlink"/>
    <w:basedOn w:val="DefaultParagraphFont"/>
    <w:uiPriority w:val="99"/>
    <w:unhideWhenUsed/>
    <w:qFormat/>
    <w:rsid w:val="004E5E26"/>
    <w:rPr>
      <w:color w:val="005A7C" w:themeColor="hyperlink"/>
      <w:u w:val="single"/>
    </w:rPr>
  </w:style>
  <w:style w:type="character" w:styleId="UnresolvedMention">
    <w:name w:val="Unresolved Mention"/>
    <w:basedOn w:val="DefaultParagraphFont"/>
    <w:uiPriority w:val="99"/>
    <w:semiHidden/>
    <w:unhideWhenUsed/>
    <w:rsid w:val="004E5E26"/>
    <w:rPr>
      <w:color w:val="605E5C"/>
      <w:shd w:val="clear" w:color="auto" w:fill="E1DFDD"/>
    </w:rPr>
  </w:style>
  <w:style w:type="paragraph" w:styleId="ListParagraph">
    <w:name w:val="List Paragraph"/>
    <w:basedOn w:val="Normal"/>
    <w:link w:val="ListParagraphChar"/>
    <w:uiPriority w:val="1"/>
    <w:qFormat/>
    <w:rsid w:val="007D3A0C"/>
    <w:pPr>
      <w:numPr>
        <w:numId w:val="2"/>
      </w:numPr>
      <w:contextualSpacing/>
    </w:pPr>
  </w:style>
  <w:style w:type="character" w:styleId="Strong">
    <w:name w:val="Strong"/>
    <w:basedOn w:val="DefaultParagraphFont"/>
    <w:uiPriority w:val="22"/>
    <w:qFormat/>
    <w:rsid w:val="00606978"/>
    <w:rPr>
      <w:b/>
      <w:bCs/>
    </w:rPr>
  </w:style>
  <w:style w:type="character" w:customStyle="1" w:styleId="Heading3Char">
    <w:name w:val="Heading 3 Char"/>
    <w:basedOn w:val="DefaultParagraphFont"/>
    <w:link w:val="Heading3"/>
    <w:uiPriority w:val="9"/>
    <w:rsid w:val="007206E7"/>
    <w:rPr>
      <w:rFonts w:eastAsiaTheme="majorEastAsia" w:cstheme="minorHAnsi"/>
      <w:b/>
      <w:color w:val="2C5261" w:themeColor="accent1"/>
      <w:sz w:val="29"/>
      <w:szCs w:val="29"/>
      <w:shd w:val="clear" w:color="auto" w:fill="F3F4F4" w:themeFill="background2"/>
    </w:rPr>
  </w:style>
  <w:style w:type="character" w:customStyle="1" w:styleId="Heading4Char">
    <w:name w:val="Heading 4 Char"/>
    <w:basedOn w:val="DefaultParagraphFont"/>
    <w:link w:val="Heading4"/>
    <w:uiPriority w:val="9"/>
    <w:rsid w:val="005D0752"/>
    <w:rPr>
      <w:rFonts w:asciiTheme="majorHAnsi" w:eastAsiaTheme="majorEastAsia" w:hAnsiTheme="majorHAnsi" w:cstheme="minorHAnsi"/>
      <w:color w:val="9E1C30" w:themeColor="accent5"/>
      <w:sz w:val="28"/>
      <w:szCs w:val="28"/>
    </w:rPr>
  </w:style>
  <w:style w:type="character" w:styleId="CommentReference">
    <w:name w:val="annotation reference"/>
    <w:basedOn w:val="DefaultParagraphFont"/>
    <w:uiPriority w:val="99"/>
    <w:semiHidden/>
    <w:unhideWhenUsed/>
    <w:rsid w:val="000D617B"/>
    <w:rPr>
      <w:sz w:val="16"/>
      <w:szCs w:val="16"/>
    </w:rPr>
  </w:style>
  <w:style w:type="paragraph" w:styleId="CommentText">
    <w:name w:val="annotation text"/>
    <w:basedOn w:val="Normal"/>
    <w:link w:val="CommentTextChar"/>
    <w:uiPriority w:val="99"/>
    <w:unhideWhenUsed/>
    <w:rsid w:val="000D617B"/>
    <w:pPr>
      <w:spacing w:line="240" w:lineRule="auto"/>
    </w:pPr>
    <w:rPr>
      <w:sz w:val="20"/>
      <w:szCs w:val="20"/>
    </w:rPr>
  </w:style>
  <w:style w:type="character" w:customStyle="1" w:styleId="CommentTextChar">
    <w:name w:val="Comment Text Char"/>
    <w:basedOn w:val="DefaultParagraphFont"/>
    <w:link w:val="CommentText"/>
    <w:uiPriority w:val="99"/>
    <w:rsid w:val="000D617B"/>
    <w:rPr>
      <w:sz w:val="20"/>
      <w:szCs w:val="20"/>
    </w:rPr>
  </w:style>
  <w:style w:type="paragraph" w:styleId="CommentSubject">
    <w:name w:val="annotation subject"/>
    <w:basedOn w:val="CommentText"/>
    <w:next w:val="CommentText"/>
    <w:link w:val="CommentSubjectChar"/>
    <w:uiPriority w:val="99"/>
    <w:semiHidden/>
    <w:unhideWhenUsed/>
    <w:rsid w:val="000D617B"/>
    <w:rPr>
      <w:b/>
      <w:bCs/>
    </w:rPr>
  </w:style>
  <w:style w:type="character" w:customStyle="1" w:styleId="CommentSubjectChar">
    <w:name w:val="Comment Subject Char"/>
    <w:basedOn w:val="CommentTextChar"/>
    <w:link w:val="CommentSubject"/>
    <w:uiPriority w:val="99"/>
    <w:semiHidden/>
    <w:rsid w:val="000D617B"/>
    <w:rPr>
      <w:b/>
      <w:bCs/>
      <w:sz w:val="20"/>
      <w:szCs w:val="20"/>
    </w:rPr>
  </w:style>
  <w:style w:type="paragraph" w:styleId="BalloonText">
    <w:name w:val="Balloon Text"/>
    <w:basedOn w:val="Normal"/>
    <w:link w:val="BalloonTextChar"/>
    <w:uiPriority w:val="99"/>
    <w:semiHidden/>
    <w:unhideWhenUsed/>
    <w:rsid w:val="000D61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17B"/>
    <w:rPr>
      <w:rFonts w:ascii="Segoe UI" w:hAnsi="Segoe UI" w:cs="Segoe UI"/>
      <w:sz w:val="18"/>
      <w:szCs w:val="18"/>
    </w:rPr>
  </w:style>
  <w:style w:type="character" w:styleId="FollowedHyperlink">
    <w:name w:val="FollowedHyperlink"/>
    <w:basedOn w:val="DefaultParagraphFont"/>
    <w:uiPriority w:val="99"/>
    <w:semiHidden/>
    <w:unhideWhenUsed/>
    <w:rsid w:val="00D84059"/>
    <w:rPr>
      <w:color w:val="666666" w:themeColor="followedHyperlink"/>
      <w:u w:val="single"/>
    </w:rPr>
  </w:style>
  <w:style w:type="character" w:styleId="Emphasis">
    <w:name w:val="Emphasis"/>
    <w:basedOn w:val="DefaultParagraphFont"/>
    <w:uiPriority w:val="20"/>
    <w:qFormat/>
    <w:rsid w:val="00613E32"/>
    <w:rPr>
      <w:i/>
      <w:iCs/>
      <w:color w:val="000000"/>
      <w14:textFill>
        <w14:solidFill>
          <w14:srgbClr w14:val="000000">
            <w14:alpha w14:val="20000"/>
          </w14:srgbClr>
        </w14:solidFill>
      </w14:textFill>
    </w:rPr>
  </w:style>
  <w:style w:type="character" w:customStyle="1" w:styleId="Heading5Char">
    <w:name w:val="Heading 5 Char"/>
    <w:basedOn w:val="DefaultParagraphFont"/>
    <w:link w:val="Heading5"/>
    <w:uiPriority w:val="9"/>
    <w:rsid w:val="00DA4EDD"/>
    <w:rPr>
      <w:rFonts w:eastAsiaTheme="majorEastAsia" w:cstheme="minorHAnsi"/>
      <w:b/>
      <w:bCs/>
      <w:color w:val="242021" w:themeColor="text1"/>
      <w:sz w:val="24"/>
      <w:szCs w:val="24"/>
    </w:rPr>
  </w:style>
  <w:style w:type="paragraph" w:customStyle="1" w:styleId="IntroParagraph">
    <w:name w:val="Intro Paragraph"/>
    <w:basedOn w:val="Normal"/>
    <w:next w:val="Normal"/>
    <w:link w:val="IntroParagraphChar"/>
    <w:uiPriority w:val="11"/>
    <w:qFormat/>
    <w:rsid w:val="00F16159"/>
    <w:pPr>
      <w:numPr>
        <w:ilvl w:val="1"/>
      </w:numPr>
      <w:spacing w:before="360" w:after="480"/>
      <w:ind w:left="720"/>
    </w:pPr>
    <w:rPr>
      <w:rFonts w:asciiTheme="majorHAnsi" w:eastAsia="Times New Roman" w:hAnsiTheme="majorHAnsi" w:cstheme="majorHAnsi"/>
      <w:i/>
      <w:iCs/>
      <w:color w:val="2C5261" w:themeColor="accent1"/>
      <w:spacing w:val="10"/>
      <w:sz w:val="26"/>
      <w:szCs w:val="26"/>
    </w:rPr>
  </w:style>
  <w:style w:type="paragraph" w:customStyle="1" w:styleId="Callout1">
    <w:name w:val="Callout 1"/>
    <w:basedOn w:val="Normal"/>
    <w:link w:val="Callout1Char"/>
    <w:uiPriority w:val="12"/>
    <w:qFormat/>
    <w:rsid w:val="00506C3E"/>
    <w:pPr>
      <w:pBdr>
        <w:top w:val="single" w:sz="8" w:space="8" w:color="66A1B9" w:themeColor="accent1" w:themeTint="99"/>
        <w:left w:val="single" w:sz="8" w:space="8" w:color="66A1B9" w:themeColor="accent1" w:themeTint="99"/>
        <w:bottom w:val="single" w:sz="8" w:space="8" w:color="66A1B9" w:themeColor="accent1" w:themeTint="99"/>
        <w:right w:val="single" w:sz="8" w:space="8" w:color="66A1B9" w:themeColor="accent1" w:themeTint="99"/>
      </w:pBdr>
      <w:shd w:val="clear" w:color="auto" w:fill="2C5261" w:themeFill="accent1"/>
      <w:spacing w:before="600" w:after="600"/>
      <w:ind w:left="936" w:right="936"/>
    </w:pPr>
    <w:rPr>
      <w:color w:val="FFFFFF" w:themeColor="background1"/>
      <w:sz w:val="25"/>
      <w:szCs w:val="25"/>
    </w:rPr>
  </w:style>
  <w:style w:type="character" w:customStyle="1" w:styleId="IntroParagraphChar">
    <w:name w:val="Intro Paragraph Char"/>
    <w:basedOn w:val="SubtitleChar"/>
    <w:link w:val="IntroParagraph"/>
    <w:uiPriority w:val="11"/>
    <w:rsid w:val="00F16159"/>
    <w:rPr>
      <w:rFonts w:asciiTheme="majorHAnsi" w:eastAsia="Times New Roman" w:hAnsiTheme="majorHAnsi" w:cstheme="majorHAnsi"/>
      <w:b w:val="0"/>
      <w:i/>
      <w:iCs/>
      <w:color w:val="2C5261" w:themeColor="accent1"/>
      <w:spacing w:val="10"/>
      <w:sz w:val="26"/>
      <w:szCs w:val="26"/>
    </w:rPr>
  </w:style>
  <w:style w:type="paragraph" w:customStyle="1" w:styleId="Callout2">
    <w:name w:val="Callout 2"/>
    <w:basedOn w:val="Callout1"/>
    <w:link w:val="Callout2Char"/>
    <w:uiPriority w:val="12"/>
    <w:qFormat/>
    <w:rsid w:val="00506C3E"/>
    <w:pPr>
      <w:pBdr>
        <w:top w:val="single" w:sz="48" w:space="8" w:color="C8C8C6" w:themeColor="accent4"/>
        <w:left w:val="none" w:sz="0" w:space="0" w:color="auto"/>
        <w:bottom w:val="single" w:sz="24" w:space="8" w:color="C8C8C6" w:themeColor="accent4"/>
        <w:right w:val="none" w:sz="0" w:space="0" w:color="auto"/>
      </w:pBdr>
      <w:shd w:val="clear" w:color="auto" w:fill="auto"/>
      <w:ind w:left="720" w:right="720"/>
    </w:pPr>
    <w:rPr>
      <w:rFonts w:asciiTheme="majorHAnsi" w:hAnsiTheme="majorHAnsi" w:cstheme="majorHAnsi"/>
      <w:color w:val="7A232F" w:themeColor="accent2"/>
    </w:rPr>
  </w:style>
  <w:style w:type="character" w:customStyle="1" w:styleId="Callout1Char">
    <w:name w:val="Callout 1 Char"/>
    <w:basedOn w:val="DefaultParagraphFont"/>
    <w:link w:val="Callout1"/>
    <w:uiPriority w:val="12"/>
    <w:rsid w:val="00506C3E"/>
    <w:rPr>
      <w:color w:val="FFFFFF" w:themeColor="background1"/>
      <w:sz w:val="25"/>
      <w:szCs w:val="25"/>
      <w:shd w:val="clear" w:color="auto" w:fill="2C5261" w:themeFill="accent1"/>
    </w:rPr>
  </w:style>
  <w:style w:type="paragraph" w:customStyle="1" w:styleId="NumberedList">
    <w:name w:val="Numbered List"/>
    <w:basedOn w:val="ListParagraph"/>
    <w:link w:val="NumberedListChar"/>
    <w:uiPriority w:val="2"/>
    <w:qFormat/>
    <w:rsid w:val="00B563FF"/>
    <w:pPr>
      <w:numPr>
        <w:numId w:val="3"/>
      </w:numPr>
    </w:pPr>
  </w:style>
  <w:style w:type="character" w:customStyle="1" w:styleId="Callout2Char">
    <w:name w:val="Callout 2 Char"/>
    <w:basedOn w:val="Callout1Char"/>
    <w:link w:val="Callout2"/>
    <w:uiPriority w:val="12"/>
    <w:rsid w:val="00506C3E"/>
    <w:rPr>
      <w:rFonts w:asciiTheme="majorHAnsi" w:hAnsiTheme="majorHAnsi" w:cstheme="majorHAnsi"/>
      <w:color w:val="7A232F" w:themeColor="accent2"/>
      <w:sz w:val="25"/>
      <w:szCs w:val="25"/>
      <w:shd w:val="clear" w:color="auto" w:fill="2C5261" w:themeFill="accent1"/>
    </w:rPr>
  </w:style>
  <w:style w:type="character" w:customStyle="1" w:styleId="ListParagraphChar">
    <w:name w:val="List Paragraph Char"/>
    <w:basedOn w:val="DefaultParagraphFont"/>
    <w:link w:val="ListParagraph"/>
    <w:uiPriority w:val="1"/>
    <w:rsid w:val="007D3A0C"/>
  </w:style>
  <w:style w:type="character" w:customStyle="1" w:styleId="NumberedListChar">
    <w:name w:val="Numbered List Char"/>
    <w:basedOn w:val="ListParagraphChar"/>
    <w:link w:val="NumberedList"/>
    <w:uiPriority w:val="2"/>
    <w:rsid w:val="00B563FF"/>
  </w:style>
  <w:style w:type="table" w:styleId="TableGrid">
    <w:name w:val="Table Grid"/>
    <w:basedOn w:val="TableNormal"/>
    <w:uiPriority w:val="39"/>
    <w:rsid w:val="00C1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C151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9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9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9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9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314F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PSTableLight">
    <w:name w:val="GPS Table: Light"/>
    <w:basedOn w:val="GPSTableDark"/>
    <w:uiPriority w:val="99"/>
    <w:rsid w:val="006D7B8A"/>
    <w:tblPr/>
    <w:tblStylePr w:type="firstRow">
      <w:pPr>
        <w:wordWrap/>
        <w:spacing w:beforeLines="0" w:before="40" w:beforeAutospacing="0" w:afterLines="0" w:after="40" w:afterAutospacing="0"/>
      </w:pPr>
      <w:rPr>
        <w:b/>
        <w:bCs/>
        <w:color w:val="7A232F" w:themeColor="accent2"/>
      </w:rPr>
      <w:tblPr/>
      <w:tcPr>
        <w:tcBorders>
          <w:top w:val="single" w:sz="4" w:space="0" w:color="979797" w:themeColor="accent3" w:themeTint="80"/>
          <w:left w:val="nil"/>
          <w:bottom w:val="single" w:sz="12" w:space="0" w:color="2C5261" w:themeColor="accent1"/>
          <w:right w:val="nil"/>
          <w:insideH w:val="single" w:sz="4" w:space="0" w:color="213D48" w:themeColor="accent1" w:themeShade="BF"/>
          <w:insideV w:val="nil"/>
          <w:tl2br w:val="nil"/>
          <w:tr2bl w:val="nil"/>
        </w:tcBorders>
        <w:shd w:val="clear" w:color="auto" w:fill="FFFFFF" w:themeFill="background1"/>
      </w:tcPr>
    </w:tblStylePr>
    <w:tblStylePr w:type="lastRow">
      <w:pPr>
        <w:wordWrap/>
        <w:spacing w:beforeLines="0" w:before="40" w:beforeAutospacing="0" w:afterLines="0" w:after="40" w:afterAutospacing="0"/>
      </w:pPr>
      <w:rPr>
        <w:b/>
        <w:bCs/>
        <w:color w:val="7A232F" w:themeColor="accent2"/>
      </w:rPr>
      <w:tblPr/>
      <w:tcPr>
        <w:tcBorders>
          <w:top w:val="single" w:sz="12" w:space="0" w:color="2C5261" w:themeColor="accent1"/>
          <w:left w:val="nil"/>
          <w:bottom w:val="single" w:sz="4" w:space="0" w:color="979797" w:themeColor="accent3" w:themeTint="80"/>
          <w:right w:val="nil"/>
          <w:insideV w:val="nil"/>
        </w:tcBorders>
        <w:shd w:val="clear" w:color="auto" w:fill="FFFFFF" w:themeFill="background1"/>
      </w:tcPr>
    </w:tblStylePr>
    <w:tblStylePr w:type="firstCol">
      <w:rPr>
        <w:b/>
        <w:bCs/>
        <w:color w:val="073445" w:themeColor="text2"/>
      </w:rPr>
      <w:tblPr/>
      <w:tcPr>
        <w:tcBorders>
          <w:top w:val="nil"/>
          <w:left w:val="nil"/>
          <w:bottom w:val="nil"/>
          <w:right w:val="nil"/>
          <w:insideH w:val="nil"/>
          <w:insideV w:val="nil"/>
          <w:tl2br w:val="nil"/>
          <w:tr2bl w:val="nil"/>
        </w:tcBorders>
        <w:shd w:val="clear" w:color="auto" w:fill="F3F4F4" w:themeFill="background2"/>
      </w:tcPr>
    </w:tblStylePr>
    <w:tblStylePr w:type="lastCol">
      <w:rPr>
        <w:b/>
        <w:bCs/>
        <w:color w:val="073445" w:themeColor="text2"/>
      </w:rPr>
      <w:tblPr/>
      <w:tcPr>
        <w:tcBorders>
          <w:top w:val="nil"/>
          <w:left w:val="nil"/>
          <w:bottom w:val="nil"/>
          <w:right w:val="nil"/>
          <w:insideH w:val="nil"/>
          <w:insideV w:val="nil"/>
          <w:tl2br w:val="nil"/>
          <w:tr2bl w:val="nil"/>
        </w:tcBorders>
        <w:shd w:val="clear" w:color="auto" w:fill="F3F4F4" w:themeFill="background2"/>
      </w:tcPr>
    </w:tblStylePr>
    <w:tblStylePr w:type="band1Vert">
      <w:tblPr/>
      <w:tcPr>
        <w:shd w:val="clear" w:color="auto" w:fill="D5D5D5" w:themeFill="accent3" w:themeFillTint="33"/>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D4767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8155">
      <w:bodyDiv w:val="1"/>
      <w:marLeft w:val="0"/>
      <w:marRight w:val="0"/>
      <w:marTop w:val="0"/>
      <w:marBottom w:val="0"/>
      <w:divBdr>
        <w:top w:val="none" w:sz="0" w:space="0" w:color="auto"/>
        <w:left w:val="none" w:sz="0" w:space="0" w:color="auto"/>
        <w:bottom w:val="none" w:sz="0" w:space="0" w:color="auto"/>
        <w:right w:val="none" w:sz="0" w:space="0" w:color="auto"/>
      </w:divBdr>
    </w:div>
    <w:div w:id="61955839">
      <w:bodyDiv w:val="1"/>
      <w:marLeft w:val="0"/>
      <w:marRight w:val="0"/>
      <w:marTop w:val="0"/>
      <w:marBottom w:val="0"/>
      <w:divBdr>
        <w:top w:val="none" w:sz="0" w:space="0" w:color="auto"/>
        <w:left w:val="none" w:sz="0" w:space="0" w:color="auto"/>
        <w:bottom w:val="none" w:sz="0" w:space="0" w:color="auto"/>
        <w:right w:val="none" w:sz="0" w:space="0" w:color="auto"/>
      </w:divBdr>
    </w:div>
    <w:div w:id="70323513">
      <w:bodyDiv w:val="1"/>
      <w:marLeft w:val="0"/>
      <w:marRight w:val="0"/>
      <w:marTop w:val="0"/>
      <w:marBottom w:val="0"/>
      <w:divBdr>
        <w:top w:val="none" w:sz="0" w:space="0" w:color="auto"/>
        <w:left w:val="none" w:sz="0" w:space="0" w:color="auto"/>
        <w:bottom w:val="none" w:sz="0" w:space="0" w:color="auto"/>
        <w:right w:val="none" w:sz="0" w:space="0" w:color="auto"/>
      </w:divBdr>
    </w:div>
    <w:div w:id="101729149">
      <w:bodyDiv w:val="1"/>
      <w:marLeft w:val="0"/>
      <w:marRight w:val="0"/>
      <w:marTop w:val="0"/>
      <w:marBottom w:val="0"/>
      <w:divBdr>
        <w:top w:val="none" w:sz="0" w:space="0" w:color="auto"/>
        <w:left w:val="none" w:sz="0" w:space="0" w:color="auto"/>
        <w:bottom w:val="none" w:sz="0" w:space="0" w:color="auto"/>
        <w:right w:val="none" w:sz="0" w:space="0" w:color="auto"/>
      </w:divBdr>
    </w:div>
    <w:div w:id="239364842">
      <w:bodyDiv w:val="1"/>
      <w:marLeft w:val="0"/>
      <w:marRight w:val="0"/>
      <w:marTop w:val="0"/>
      <w:marBottom w:val="0"/>
      <w:divBdr>
        <w:top w:val="none" w:sz="0" w:space="0" w:color="auto"/>
        <w:left w:val="none" w:sz="0" w:space="0" w:color="auto"/>
        <w:bottom w:val="none" w:sz="0" w:space="0" w:color="auto"/>
        <w:right w:val="none" w:sz="0" w:space="0" w:color="auto"/>
      </w:divBdr>
    </w:div>
    <w:div w:id="272250967">
      <w:bodyDiv w:val="1"/>
      <w:marLeft w:val="0"/>
      <w:marRight w:val="0"/>
      <w:marTop w:val="0"/>
      <w:marBottom w:val="0"/>
      <w:divBdr>
        <w:top w:val="none" w:sz="0" w:space="0" w:color="auto"/>
        <w:left w:val="none" w:sz="0" w:space="0" w:color="auto"/>
        <w:bottom w:val="none" w:sz="0" w:space="0" w:color="auto"/>
        <w:right w:val="none" w:sz="0" w:space="0" w:color="auto"/>
      </w:divBdr>
    </w:div>
    <w:div w:id="283004626">
      <w:bodyDiv w:val="1"/>
      <w:marLeft w:val="0"/>
      <w:marRight w:val="0"/>
      <w:marTop w:val="0"/>
      <w:marBottom w:val="0"/>
      <w:divBdr>
        <w:top w:val="none" w:sz="0" w:space="0" w:color="auto"/>
        <w:left w:val="none" w:sz="0" w:space="0" w:color="auto"/>
        <w:bottom w:val="none" w:sz="0" w:space="0" w:color="auto"/>
        <w:right w:val="none" w:sz="0" w:space="0" w:color="auto"/>
      </w:divBdr>
    </w:div>
    <w:div w:id="303775223">
      <w:bodyDiv w:val="1"/>
      <w:marLeft w:val="0"/>
      <w:marRight w:val="0"/>
      <w:marTop w:val="0"/>
      <w:marBottom w:val="0"/>
      <w:divBdr>
        <w:top w:val="none" w:sz="0" w:space="0" w:color="auto"/>
        <w:left w:val="none" w:sz="0" w:space="0" w:color="auto"/>
        <w:bottom w:val="none" w:sz="0" w:space="0" w:color="auto"/>
        <w:right w:val="none" w:sz="0" w:space="0" w:color="auto"/>
      </w:divBdr>
    </w:div>
    <w:div w:id="372537516">
      <w:bodyDiv w:val="1"/>
      <w:marLeft w:val="0"/>
      <w:marRight w:val="0"/>
      <w:marTop w:val="0"/>
      <w:marBottom w:val="0"/>
      <w:divBdr>
        <w:top w:val="none" w:sz="0" w:space="0" w:color="auto"/>
        <w:left w:val="none" w:sz="0" w:space="0" w:color="auto"/>
        <w:bottom w:val="none" w:sz="0" w:space="0" w:color="auto"/>
        <w:right w:val="none" w:sz="0" w:space="0" w:color="auto"/>
      </w:divBdr>
    </w:div>
    <w:div w:id="523250566">
      <w:bodyDiv w:val="1"/>
      <w:marLeft w:val="0"/>
      <w:marRight w:val="0"/>
      <w:marTop w:val="0"/>
      <w:marBottom w:val="0"/>
      <w:divBdr>
        <w:top w:val="none" w:sz="0" w:space="0" w:color="auto"/>
        <w:left w:val="none" w:sz="0" w:space="0" w:color="auto"/>
        <w:bottom w:val="none" w:sz="0" w:space="0" w:color="auto"/>
        <w:right w:val="none" w:sz="0" w:space="0" w:color="auto"/>
      </w:divBdr>
    </w:div>
    <w:div w:id="532110966">
      <w:bodyDiv w:val="1"/>
      <w:marLeft w:val="0"/>
      <w:marRight w:val="0"/>
      <w:marTop w:val="0"/>
      <w:marBottom w:val="0"/>
      <w:divBdr>
        <w:top w:val="none" w:sz="0" w:space="0" w:color="auto"/>
        <w:left w:val="none" w:sz="0" w:space="0" w:color="auto"/>
        <w:bottom w:val="none" w:sz="0" w:space="0" w:color="auto"/>
        <w:right w:val="none" w:sz="0" w:space="0" w:color="auto"/>
      </w:divBdr>
    </w:div>
    <w:div w:id="598635768">
      <w:bodyDiv w:val="1"/>
      <w:marLeft w:val="0"/>
      <w:marRight w:val="0"/>
      <w:marTop w:val="0"/>
      <w:marBottom w:val="0"/>
      <w:divBdr>
        <w:top w:val="none" w:sz="0" w:space="0" w:color="auto"/>
        <w:left w:val="none" w:sz="0" w:space="0" w:color="auto"/>
        <w:bottom w:val="none" w:sz="0" w:space="0" w:color="auto"/>
        <w:right w:val="none" w:sz="0" w:space="0" w:color="auto"/>
      </w:divBdr>
    </w:div>
    <w:div w:id="629288746">
      <w:bodyDiv w:val="1"/>
      <w:marLeft w:val="0"/>
      <w:marRight w:val="0"/>
      <w:marTop w:val="0"/>
      <w:marBottom w:val="0"/>
      <w:divBdr>
        <w:top w:val="none" w:sz="0" w:space="0" w:color="auto"/>
        <w:left w:val="none" w:sz="0" w:space="0" w:color="auto"/>
        <w:bottom w:val="none" w:sz="0" w:space="0" w:color="auto"/>
        <w:right w:val="none" w:sz="0" w:space="0" w:color="auto"/>
      </w:divBdr>
    </w:div>
    <w:div w:id="661086723">
      <w:bodyDiv w:val="1"/>
      <w:marLeft w:val="0"/>
      <w:marRight w:val="0"/>
      <w:marTop w:val="0"/>
      <w:marBottom w:val="0"/>
      <w:divBdr>
        <w:top w:val="none" w:sz="0" w:space="0" w:color="auto"/>
        <w:left w:val="none" w:sz="0" w:space="0" w:color="auto"/>
        <w:bottom w:val="none" w:sz="0" w:space="0" w:color="auto"/>
        <w:right w:val="none" w:sz="0" w:space="0" w:color="auto"/>
      </w:divBdr>
    </w:div>
    <w:div w:id="663051489">
      <w:bodyDiv w:val="1"/>
      <w:marLeft w:val="0"/>
      <w:marRight w:val="0"/>
      <w:marTop w:val="0"/>
      <w:marBottom w:val="0"/>
      <w:divBdr>
        <w:top w:val="none" w:sz="0" w:space="0" w:color="auto"/>
        <w:left w:val="none" w:sz="0" w:space="0" w:color="auto"/>
        <w:bottom w:val="none" w:sz="0" w:space="0" w:color="auto"/>
        <w:right w:val="none" w:sz="0" w:space="0" w:color="auto"/>
      </w:divBdr>
    </w:div>
    <w:div w:id="744912201">
      <w:bodyDiv w:val="1"/>
      <w:marLeft w:val="0"/>
      <w:marRight w:val="0"/>
      <w:marTop w:val="0"/>
      <w:marBottom w:val="0"/>
      <w:divBdr>
        <w:top w:val="none" w:sz="0" w:space="0" w:color="auto"/>
        <w:left w:val="none" w:sz="0" w:space="0" w:color="auto"/>
        <w:bottom w:val="none" w:sz="0" w:space="0" w:color="auto"/>
        <w:right w:val="none" w:sz="0" w:space="0" w:color="auto"/>
      </w:divBdr>
    </w:div>
    <w:div w:id="792676321">
      <w:bodyDiv w:val="1"/>
      <w:marLeft w:val="0"/>
      <w:marRight w:val="0"/>
      <w:marTop w:val="0"/>
      <w:marBottom w:val="0"/>
      <w:divBdr>
        <w:top w:val="none" w:sz="0" w:space="0" w:color="auto"/>
        <w:left w:val="none" w:sz="0" w:space="0" w:color="auto"/>
        <w:bottom w:val="none" w:sz="0" w:space="0" w:color="auto"/>
        <w:right w:val="none" w:sz="0" w:space="0" w:color="auto"/>
      </w:divBdr>
    </w:div>
    <w:div w:id="796220604">
      <w:bodyDiv w:val="1"/>
      <w:marLeft w:val="0"/>
      <w:marRight w:val="0"/>
      <w:marTop w:val="0"/>
      <w:marBottom w:val="0"/>
      <w:divBdr>
        <w:top w:val="none" w:sz="0" w:space="0" w:color="auto"/>
        <w:left w:val="none" w:sz="0" w:space="0" w:color="auto"/>
        <w:bottom w:val="none" w:sz="0" w:space="0" w:color="auto"/>
        <w:right w:val="none" w:sz="0" w:space="0" w:color="auto"/>
      </w:divBdr>
    </w:div>
    <w:div w:id="837234096">
      <w:bodyDiv w:val="1"/>
      <w:marLeft w:val="0"/>
      <w:marRight w:val="0"/>
      <w:marTop w:val="0"/>
      <w:marBottom w:val="0"/>
      <w:divBdr>
        <w:top w:val="none" w:sz="0" w:space="0" w:color="auto"/>
        <w:left w:val="none" w:sz="0" w:space="0" w:color="auto"/>
        <w:bottom w:val="none" w:sz="0" w:space="0" w:color="auto"/>
        <w:right w:val="none" w:sz="0" w:space="0" w:color="auto"/>
      </w:divBdr>
    </w:div>
    <w:div w:id="950163914">
      <w:bodyDiv w:val="1"/>
      <w:marLeft w:val="0"/>
      <w:marRight w:val="0"/>
      <w:marTop w:val="0"/>
      <w:marBottom w:val="0"/>
      <w:divBdr>
        <w:top w:val="none" w:sz="0" w:space="0" w:color="auto"/>
        <w:left w:val="none" w:sz="0" w:space="0" w:color="auto"/>
        <w:bottom w:val="none" w:sz="0" w:space="0" w:color="auto"/>
        <w:right w:val="none" w:sz="0" w:space="0" w:color="auto"/>
      </w:divBdr>
    </w:div>
    <w:div w:id="998843806">
      <w:bodyDiv w:val="1"/>
      <w:marLeft w:val="0"/>
      <w:marRight w:val="0"/>
      <w:marTop w:val="0"/>
      <w:marBottom w:val="0"/>
      <w:divBdr>
        <w:top w:val="none" w:sz="0" w:space="0" w:color="auto"/>
        <w:left w:val="none" w:sz="0" w:space="0" w:color="auto"/>
        <w:bottom w:val="none" w:sz="0" w:space="0" w:color="auto"/>
        <w:right w:val="none" w:sz="0" w:space="0" w:color="auto"/>
      </w:divBdr>
    </w:div>
    <w:div w:id="1208495641">
      <w:bodyDiv w:val="1"/>
      <w:marLeft w:val="0"/>
      <w:marRight w:val="0"/>
      <w:marTop w:val="0"/>
      <w:marBottom w:val="0"/>
      <w:divBdr>
        <w:top w:val="none" w:sz="0" w:space="0" w:color="auto"/>
        <w:left w:val="none" w:sz="0" w:space="0" w:color="auto"/>
        <w:bottom w:val="none" w:sz="0" w:space="0" w:color="auto"/>
        <w:right w:val="none" w:sz="0" w:space="0" w:color="auto"/>
      </w:divBdr>
    </w:div>
    <w:div w:id="1217813327">
      <w:bodyDiv w:val="1"/>
      <w:marLeft w:val="0"/>
      <w:marRight w:val="0"/>
      <w:marTop w:val="0"/>
      <w:marBottom w:val="0"/>
      <w:divBdr>
        <w:top w:val="none" w:sz="0" w:space="0" w:color="auto"/>
        <w:left w:val="none" w:sz="0" w:space="0" w:color="auto"/>
        <w:bottom w:val="none" w:sz="0" w:space="0" w:color="auto"/>
        <w:right w:val="none" w:sz="0" w:space="0" w:color="auto"/>
      </w:divBdr>
    </w:div>
    <w:div w:id="1252396945">
      <w:bodyDiv w:val="1"/>
      <w:marLeft w:val="0"/>
      <w:marRight w:val="0"/>
      <w:marTop w:val="0"/>
      <w:marBottom w:val="0"/>
      <w:divBdr>
        <w:top w:val="none" w:sz="0" w:space="0" w:color="auto"/>
        <w:left w:val="none" w:sz="0" w:space="0" w:color="auto"/>
        <w:bottom w:val="none" w:sz="0" w:space="0" w:color="auto"/>
        <w:right w:val="none" w:sz="0" w:space="0" w:color="auto"/>
      </w:divBdr>
      <w:divsChild>
        <w:div w:id="2139840267">
          <w:marLeft w:val="1166"/>
          <w:marRight w:val="0"/>
          <w:marTop w:val="0"/>
          <w:marBottom w:val="0"/>
          <w:divBdr>
            <w:top w:val="none" w:sz="0" w:space="0" w:color="auto"/>
            <w:left w:val="none" w:sz="0" w:space="0" w:color="auto"/>
            <w:bottom w:val="none" w:sz="0" w:space="0" w:color="auto"/>
            <w:right w:val="none" w:sz="0" w:space="0" w:color="auto"/>
          </w:divBdr>
        </w:div>
        <w:div w:id="2122990337">
          <w:marLeft w:val="1166"/>
          <w:marRight w:val="0"/>
          <w:marTop w:val="0"/>
          <w:marBottom w:val="0"/>
          <w:divBdr>
            <w:top w:val="none" w:sz="0" w:space="0" w:color="auto"/>
            <w:left w:val="none" w:sz="0" w:space="0" w:color="auto"/>
            <w:bottom w:val="none" w:sz="0" w:space="0" w:color="auto"/>
            <w:right w:val="none" w:sz="0" w:space="0" w:color="auto"/>
          </w:divBdr>
        </w:div>
        <w:div w:id="1263535787">
          <w:marLeft w:val="1166"/>
          <w:marRight w:val="0"/>
          <w:marTop w:val="0"/>
          <w:marBottom w:val="160"/>
          <w:divBdr>
            <w:top w:val="none" w:sz="0" w:space="0" w:color="auto"/>
            <w:left w:val="none" w:sz="0" w:space="0" w:color="auto"/>
            <w:bottom w:val="none" w:sz="0" w:space="0" w:color="auto"/>
            <w:right w:val="none" w:sz="0" w:space="0" w:color="auto"/>
          </w:divBdr>
        </w:div>
      </w:divsChild>
    </w:div>
    <w:div w:id="1314528193">
      <w:bodyDiv w:val="1"/>
      <w:marLeft w:val="0"/>
      <w:marRight w:val="0"/>
      <w:marTop w:val="0"/>
      <w:marBottom w:val="0"/>
      <w:divBdr>
        <w:top w:val="none" w:sz="0" w:space="0" w:color="auto"/>
        <w:left w:val="none" w:sz="0" w:space="0" w:color="auto"/>
        <w:bottom w:val="none" w:sz="0" w:space="0" w:color="auto"/>
        <w:right w:val="none" w:sz="0" w:space="0" w:color="auto"/>
      </w:divBdr>
      <w:divsChild>
        <w:div w:id="2065176641">
          <w:marLeft w:val="274"/>
          <w:marRight w:val="0"/>
          <w:marTop w:val="0"/>
          <w:marBottom w:val="0"/>
          <w:divBdr>
            <w:top w:val="none" w:sz="0" w:space="0" w:color="auto"/>
            <w:left w:val="none" w:sz="0" w:space="0" w:color="auto"/>
            <w:bottom w:val="none" w:sz="0" w:space="0" w:color="auto"/>
            <w:right w:val="none" w:sz="0" w:space="0" w:color="auto"/>
          </w:divBdr>
        </w:div>
        <w:div w:id="2143692042">
          <w:marLeft w:val="274"/>
          <w:marRight w:val="0"/>
          <w:marTop w:val="0"/>
          <w:marBottom w:val="0"/>
          <w:divBdr>
            <w:top w:val="none" w:sz="0" w:space="0" w:color="auto"/>
            <w:left w:val="none" w:sz="0" w:space="0" w:color="auto"/>
            <w:bottom w:val="none" w:sz="0" w:space="0" w:color="auto"/>
            <w:right w:val="none" w:sz="0" w:space="0" w:color="auto"/>
          </w:divBdr>
        </w:div>
        <w:div w:id="1501698894">
          <w:marLeft w:val="274"/>
          <w:marRight w:val="0"/>
          <w:marTop w:val="0"/>
          <w:marBottom w:val="0"/>
          <w:divBdr>
            <w:top w:val="none" w:sz="0" w:space="0" w:color="auto"/>
            <w:left w:val="none" w:sz="0" w:space="0" w:color="auto"/>
            <w:bottom w:val="none" w:sz="0" w:space="0" w:color="auto"/>
            <w:right w:val="none" w:sz="0" w:space="0" w:color="auto"/>
          </w:divBdr>
        </w:div>
        <w:div w:id="674381423">
          <w:marLeft w:val="274"/>
          <w:marRight w:val="0"/>
          <w:marTop w:val="0"/>
          <w:marBottom w:val="0"/>
          <w:divBdr>
            <w:top w:val="none" w:sz="0" w:space="0" w:color="auto"/>
            <w:left w:val="none" w:sz="0" w:space="0" w:color="auto"/>
            <w:bottom w:val="none" w:sz="0" w:space="0" w:color="auto"/>
            <w:right w:val="none" w:sz="0" w:space="0" w:color="auto"/>
          </w:divBdr>
        </w:div>
      </w:divsChild>
    </w:div>
    <w:div w:id="1575046027">
      <w:bodyDiv w:val="1"/>
      <w:marLeft w:val="0"/>
      <w:marRight w:val="0"/>
      <w:marTop w:val="0"/>
      <w:marBottom w:val="0"/>
      <w:divBdr>
        <w:top w:val="none" w:sz="0" w:space="0" w:color="auto"/>
        <w:left w:val="none" w:sz="0" w:space="0" w:color="auto"/>
        <w:bottom w:val="none" w:sz="0" w:space="0" w:color="auto"/>
        <w:right w:val="none" w:sz="0" w:space="0" w:color="auto"/>
      </w:divBdr>
    </w:div>
    <w:div w:id="1598127404">
      <w:bodyDiv w:val="1"/>
      <w:marLeft w:val="0"/>
      <w:marRight w:val="0"/>
      <w:marTop w:val="0"/>
      <w:marBottom w:val="0"/>
      <w:divBdr>
        <w:top w:val="none" w:sz="0" w:space="0" w:color="auto"/>
        <w:left w:val="none" w:sz="0" w:space="0" w:color="auto"/>
        <w:bottom w:val="none" w:sz="0" w:space="0" w:color="auto"/>
        <w:right w:val="none" w:sz="0" w:space="0" w:color="auto"/>
      </w:divBdr>
    </w:div>
    <w:div w:id="1619987462">
      <w:bodyDiv w:val="1"/>
      <w:marLeft w:val="0"/>
      <w:marRight w:val="0"/>
      <w:marTop w:val="0"/>
      <w:marBottom w:val="0"/>
      <w:divBdr>
        <w:top w:val="none" w:sz="0" w:space="0" w:color="auto"/>
        <w:left w:val="none" w:sz="0" w:space="0" w:color="auto"/>
        <w:bottom w:val="none" w:sz="0" w:space="0" w:color="auto"/>
        <w:right w:val="none" w:sz="0" w:space="0" w:color="auto"/>
      </w:divBdr>
    </w:div>
    <w:div w:id="1660112330">
      <w:bodyDiv w:val="1"/>
      <w:marLeft w:val="0"/>
      <w:marRight w:val="0"/>
      <w:marTop w:val="0"/>
      <w:marBottom w:val="0"/>
      <w:divBdr>
        <w:top w:val="none" w:sz="0" w:space="0" w:color="auto"/>
        <w:left w:val="none" w:sz="0" w:space="0" w:color="auto"/>
        <w:bottom w:val="none" w:sz="0" w:space="0" w:color="auto"/>
        <w:right w:val="none" w:sz="0" w:space="0" w:color="auto"/>
      </w:divBdr>
    </w:div>
    <w:div w:id="1673531200">
      <w:bodyDiv w:val="1"/>
      <w:marLeft w:val="0"/>
      <w:marRight w:val="0"/>
      <w:marTop w:val="0"/>
      <w:marBottom w:val="0"/>
      <w:divBdr>
        <w:top w:val="none" w:sz="0" w:space="0" w:color="auto"/>
        <w:left w:val="none" w:sz="0" w:space="0" w:color="auto"/>
        <w:bottom w:val="none" w:sz="0" w:space="0" w:color="auto"/>
        <w:right w:val="none" w:sz="0" w:space="0" w:color="auto"/>
      </w:divBdr>
    </w:div>
    <w:div w:id="1691225401">
      <w:bodyDiv w:val="1"/>
      <w:marLeft w:val="0"/>
      <w:marRight w:val="0"/>
      <w:marTop w:val="0"/>
      <w:marBottom w:val="0"/>
      <w:divBdr>
        <w:top w:val="none" w:sz="0" w:space="0" w:color="auto"/>
        <w:left w:val="none" w:sz="0" w:space="0" w:color="auto"/>
        <w:bottom w:val="none" w:sz="0" w:space="0" w:color="auto"/>
        <w:right w:val="none" w:sz="0" w:space="0" w:color="auto"/>
      </w:divBdr>
    </w:div>
    <w:div w:id="1698501955">
      <w:bodyDiv w:val="1"/>
      <w:marLeft w:val="0"/>
      <w:marRight w:val="0"/>
      <w:marTop w:val="0"/>
      <w:marBottom w:val="0"/>
      <w:divBdr>
        <w:top w:val="none" w:sz="0" w:space="0" w:color="auto"/>
        <w:left w:val="none" w:sz="0" w:space="0" w:color="auto"/>
        <w:bottom w:val="none" w:sz="0" w:space="0" w:color="auto"/>
        <w:right w:val="none" w:sz="0" w:space="0" w:color="auto"/>
      </w:divBdr>
    </w:div>
    <w:div w:id="1737243844">
      <w:bodyDiv w:val="1"/>
      <w:marLeft w:val="0"/>
      <w:marRight w:val="0"/>
      <w:marTop w:val="0"/>
      <w:marBottom w:val="0"/>
      <w:divBdr>
        <w:top w:val="none" w:sz="0" w:space="0" w:color="auto"/>
        <w:left w:val="none" w:sz="0" w:space="0" w:color="auto"/>
        <w:bottom w:val="none" w:sz="0" w:space="0" w:color="auto"/>
        <w:right w:val="none" w:sz="0" w:space="0" w:color="auto"/>
      </w:divBdr>
    </w:div>
    <w:div w:id="1773743637">
      <w:bodyDiv w:val="1"/>
      <w:marLeft w:val="0"/>
      <w:marRight w:val="0"/>
      <w:marTop w:val="0"/>
      <w:marBottom w:val="0"/>
      <w:divBdr>
        <w:top w:val="none" w:sz="0" w:space="0" w:color="auto"/>
        <w:left w:val="none" w:sz="0" w:space="0" w:color="auto"/>
        <w:bottom w:val="none" w:sz="0" w:space="0" w:color="auto"/>
        <w:right w:val="none" w:sz="0" w:space="0" w:color="auto"/>
      </w:divBdr>
    </w:div>
    <w:div w:id="1807624134">
      <w:bodyDiv w:val="1"/>
      <w:marLeft w:val="0"/>
      <w:marRight w:val="0"/>
      <w:marTop w:val="0"/>
      <w:marBottom w:val="0"/>
      <w:divBdr>
        <w:top w:val="none" w:sz="0" w:space="0" w:color="auto"/>
        <w:left w:val="none" w:sz="0" w:space="0" w:color="auto"/>
        <w:bottom w:val="none" w:sz="0" w:space="0" w:color="auto"/>
        <w:right w:val="none" w:sz="0" w:space="0" w:color="auto"/>
      </w:divBdr>
    </w:div>
    <w:div w:id="1971393604">
      <w:bodyDiv w:val="1"/>
      <w:marLeft w:val="0"/>
      <w:marRight w:val="0"/>
      <w:marTop w:val="0"/>
      <w:marBottom w:val="0"/>
      <w:divBdr>
        <w:top w:val="none" w:sz="0" w:space="0" w:color="auto"/>
        <w:left w:val="none" w:sz="0" w:space="0" w:color="auto"/>
        <w:bottom w:val="none" w:sz="0" w:space="0" w:color="auto"/>
        <w:right w:val="none" w:sz="0" w:space="0" w:color="auto"/>
      </w:divBdr>
    </w:div>
    <w:div w:id="2000839099">
      <w:bodyDiv w:val="1"/>
      <w:marLeft w:val="0"/>
      <w:marRight w:val="0"/>
      <w:marTop w:val="0"/>
      <w:marBottom w:val="0"/>
      <w:divBdr>
        <w:top w:val="none" w:sz="0" w:space="0" w:color="auto"/>
        <w:left w:val="none" w:sz="0" w:space="0" w:color="auto"/>
        <w:bottom w:val="none" w:sz="0" w:space="0" w:color="auto"/>
        <w:right w:val="none" w:sz="0" w:space="0" w:color="auto"/>
      </w:divBdr>
    </w:div>
    <w:div w:id="2021731877">
      <w:bodyDiv w:val="1"/>
      <w:marLeft w:val="0"/>
      <w:marRight w:val="0"/>
      <w:marTop w:val="0"/>
      <w:marBottom w:val="0"/>
      <w:divBdr>
        <w:top w:val="none" w:sz="0" w:space="0" w:color="auto"/>
        <w:left w:val="none" w:sz="0" w:space="0" w:color="auto"/>
        <w:bottom w:val="none" w:sz="0" w:space="0" w:color="auto"/>
        <w:right w:val="none" w:sz="0" w:space="0" w:color="auto"/>
      </w:divBdr>
    </w:div>
    <w:div w:id="2135055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WFGPS 2019">
      <a:dk1>
        <a:srgbClr val="242021"/>
      </a:dk1>
      <a:lt1>
        <a:srgbClr val="FFFFFF"/>
      </a:lt1>
      <a:dk2>
        <a:srgbClr val="073445"/>
      </a:dk2>
      <a:lt2>
        <a:srgbClr val="F3F4F4"/>
      </a:lt2>
      <a:accent1>
        <a:srgbClr val="2C5261"/>
      </a:accent1>
      <a:accent2>
        <a:srgbClr val="7A232F"/>
      </a:accent2>
      <a:accent3>
        <a:srgbClr val="303030"/>
      </a:accent3>
      <a:accent4>
        <a:srgbClr val="C8C8C6"/>
      </a:accent4>
      <a:accent5>
        <a:srgbClr val="9E1C30"/>
      </a:accent5>
      <a:accent6>
        <a:srgbClr val="005A7C"/>
      </a:accent6>
      <a:hlink>
        <a:srgbClr val="005A7C"/>
      </a:hlink>
      <a:folHlink>
        <a:srgbClr val="66666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anded Edge">
      <a:fillStyleLst>
        <a:solidFill>
          <a:schemeClr val="phClr"/>
        </a:solidFill>
        <a:solidFill>
          <a:schemeClr val="phClr">
            <a:tint val="50000"/>
          </a:schemeClr>
        </a:solidFill>
        <a:gradFill rotWithShape="1">
          <a:gsLst>
            <a:gs pos="0">
              <a:schemeClr val="phClr"/>
            </a:gs>
            <a:gs pos="90000">
              <a:schemeClr val="phClr">
                <a:shade val="100000"/>
              </a:schemeClr>
            </a:gs>
            <a:gs pos="100000">
              <a:schemeClr val="phClr">
                <a:shade val="85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17779" dir="5400000" rotWithShape="0">
              <a:srgbClr val="000000">
                <a:alpha val="40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3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00f82b-dce9-458f-ab1d-1c5fd145e219">
      <Terms xmlns="http://schemas.microsoft.com/office/infopath/2007/PartnerControls"/>
    </lcf76f155ced4ddcb4097134ff3c332f>
    <TaxCatchAll xmlns="4cd59d27-ca2b-4708-b9c7-7fa281384922" xsi:nil="true"/>
    <_Flow_SignoffStatus xmlns="2f00f82b-dce9-458f-ab1d-1c5fd145e219" xsi:nil="true"/>
    <ClassificationLevel xmlns="2f00f82b-dce9-458f-ab1d-1c5fd145e21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D65DFDB39333340A6C821E1EFAF7E53" ma:contentTypeVersion="17" ma:contentTypeDescription="Create a new document." ma:contentTypeScope="" ma:versionID="3ac759074c6a86585099b25e885aa940">
  <xsd:schema xmlns:xsd="http://www.w3.org/2001/XMLSchema" xmlns:xs="http://www.w3.org/2001/XMLSchema" xmlns:p="http://schemas.microsoft.com/office/2006/metadata/properties" xmlns:ns2="2f00f82b-dce9-458f-ab1d-1c5fd145e219" xmlns:ns3="4cd59d27-ca2b-4708-b9c7-7fa281384922" targetNamespace="http://schemas.microsoft.com/office/2006/metadata/properties" ma:root="true" ma:fieldsID="3663b68fabe1147433f80d2870c2f93c" ns2:_="" ns3:_="">
    <xsd:import namespace="2f00f82b-dce9-458f-ab1d-1c5fd145e219"/>
    <xsd:import namespace="4cd59d27-ca2b-4708-b9c7-7fa2813849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_Flow_SignoffStatus" minOccurs="0"/>
                <xsd:element ref="ns2:ClassificationLeve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00f82b-dce9-458f-ab1d-1c5fd145e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40efca0-e4bb-4e8d-9d61-7e4cbb849eb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2" nillable="true" ma:displayName="Sign-off status" ma:internalName="Sign_x002d_off_x0020_status">
      <xsd:simpleType>
        <xsd:restriction base="dms:Text"/>
      </xsd:simpleType>
    </xsd:element>
    <xsd:element name="ClassificationLevel" ma:index="23" nillable="true" ma:displayName="Classification Level" ma:format="Dropdown" ma:internalName="ClassificationLevel">
      <xsd:simpleType>
        <xsd:restriction base="dms:Text">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d59d27-ca2b-4708-b9c7-7fa2813849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87ad012-c776-41ed-a0f8-f6cf97c34fbd}" ma:internalName="TaxCatchAll" ma:showField="CatchAllData" ma:web="4cd59d27-ca2b-4708-b9c7-7fa28138492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3EFA15-4728-4C59-B543-6D34C7C6DE2F}">
  <ds:schemaRefs>
    <ds:schemaRef ds:uri="http://schemas.microsoft.com/sharepoint/v3/contenttype/forms"/>
  </ds:schemaRefs>
</ds:datastoreItem>
</file>

<file path=customXml/itemProps2.xml><?xml version="1.0" encoding="utf-8"?>
<ds:datastoreItem xmlns:ds="http://schemas.openxmlformats.org/officeDocument/2006/customXml" ds:itemID="{F76AA3D0-15BE-480A-8468-F93135056BB0}">
  <ds:schemaRefs>
    <ds:schemaRef ds:uri="http://schemas.microsoft.com/office/2006/metadata/properties"/>
    <ds:schemaRef ds:uri="http://schemas.microsoft.com/office/infopath/2007/PartnerControls"/>
    <ds:schemaRef ds:uri="2f00f82b-dce9-458f-ab1d-1c5fd145e219"/>
    <ds:schemaRef ds:uri="4cd59d27-ca2b-4708-b9c7-7fa281384922"/>
  </ds:schemaRefs>
</ds:datastoreItem>
</file>

<file path=customXml/itemProps3.xml><?xml version="1.0" encoding="utf-8"?>
<ds:datastoreItem xmlns:ds="http://schemas.openxmlformats.org/officeDocument/2006/customXml" ds:itemID="{E8EF766F-90E1-468F-8977-4BA84978CE37}">
  <ds:schemaRefs>
    <ds:schemaRef ds:uri="http://schemas.openxmlformats.org/officeDocument/2006/bibliography"/>
  </ds:schemaRefs>
</ds:datastoreItem>
</file>

<file path=customXml/itemProps4.xml><?xml version="1.0" encoding="utf-8"?>
<ds:datastoreItem xmlns:ds="http://schemas.openxmlformats.org/officeDocument/2006/customXml" ds:itemID="{2D50BAFE-FCF4-4ABD-9467-62FE7874E7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00f82b-dce9-458f-ab1d-1c5fd145e219"/>
    <ds:schemaRef ds:uri="4cd59d27-ca2b-4708-b9c7-7fa2813849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4880</Words>
  <Characters>27821</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WorkforceGPS Basic Document Template</vt:lpstr>
    </vt:vector>
  </TitlesOfParts>
  <Company>United States Department of Labor</Company>
  <LinksUpToDate>false</LinksUpToDate>
  <CharactersWithSpaces>32636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WorkforceGPS Basic Document Template</dc:title>
  <dc:subject>A generic Word document to be used for building 508-compliant documents</dc:subject>
  <dc:creator>Cheryl Robbins, Maher &amp; Maher, an IMPAQ Company</dc:creator>
  <cp:keywords>508 compliance template accessibility</cp:keywords>
  <dc:description/>
  <cp:lastModifiedBy>Bryan Thomas</cp:lastModifiedBy>
  <cp:revision>3</cp:revision>
  <cp:lastPrinted>2019-08-22T16:21:00Z</cp:lastPrinted>
  <dcterms:created xsi:type="dcterms:W3CDTF">2025-11-25T15:17:00Z</dcterms:created>
  <dcterms:modified xsi:type="dcterms:W3CDTF">2025-12-30T14:08:00Z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0x010100FD65DFDB39333340A6C821E1EFAF7E53</vt:lpwstr>
  </property>
  <property fmtid="{D5CDD505-2E9C-101B-9397-08002B2CF9AE}" pid="3" name="MediaServiceImageTags">
    <vt:lpwstr/>
  </property>
</Properties>
</file>