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5FF" w:rsidRDefault="003E25FF" w:rsidP="003E25FF">
      <w:pPr>
        <w:jc w:val="center"/>
        <w:rPr>
          <w:rFonts w:ascii="Arial" w:hAnsi="Arial" w:cs="Arial"/>
          <w:b/>
          <w:sz w:val="28"/>
          <w:szCs w:val="28"/>
        </w:rPr>
      </w:pPr>
      <w:r>
        <w:rPr>
          <w:rFonts w:ascii="Arial" w:hAnsi="Arial" w:cs="Arial"/>
          <w:b/>
          <w:sz w:val="28"/>
          <w:szCs w:val="28"/>
        </w:rPr>
        <w:t xml:space="preserve">Supplemental Information for </w:t>
      </w:r>
      <w:r w:rsidR="00AF717E">
        <w:rPr>
          <w:rFonts w:ascii="Arial" w:hAnsi="Arial" w:cs="Arial"/>
          <w:b/>
          <w:sz w:val="28"/>
          <w:szCs w:val="28"/>
        </w:rPr>
        <w:t>Comprehensive Programmatic Review Correspondence</w:t>
      </w:r>
    </w:p>
    <w:p w:rsidR="003E25FF" w:rsidRPr="003E25FF" w:rsidRDefault="003E25FF" w:rsidP="003E25FF">
      <w:pPr>
        <w:rPr>
          <w:rFonts w:ascii="Arial" w:hAnsi="Arial" w:cs="Arial"/>
          <w:sz w:val="28"/>
          <w:szCs w:val="28"/>
        </w:rPr>
      </w:pPr>
      <w:r w:rsidRPr="003E25FF">
        <w:rPr>
          <w:rFonts w:ascii="Arial" w:hAnsi="Arial" w:cs="Arial"/>
          <w:sz w:val="28"/>
          <w:szCs w:val="28"/>
        </w:rPr>
        <w:t>This language is not mandatory, but is available as a resource when corresponding with MWAs regarding their review.</w:t>
      </w:r>
    </w:p>
    <w:p w:rsidR="00FD7B26" w:rsidRPr="00FD7B26" w:rsidRDefault="00FD7B26" w:rsidP="00FD7B26">
      <w:pPr>
        <w:rPr>
          <w:rFonts w:ascii="Arial" w:hAnsi="Arial" w:cs="Arial"/>
          <w:sz w:val="28"/>
          <w:szCs w:val="28"/>
        </w:rPr>
      </w:pPr>
      <w:r w:rsidRPr="007835FE">
        <w:rPr>
          <w:rFonts w:ascii="Arial" w:hAnsi="Arial" w:cs="Arial"/>
          <w:b/>
          <w:sz w:val="28"/>
          <w:szCs w:val="28"/>
        </w:rPr>
        <w:t>Core Component 1.1:</w:t>
      </w:r>
      <w:r w:rsidRPr="007835FE">
        <w:rPr>
          <w:rFonts w:ascii="Arial" w:hAnsi="Arial" w:cs="Arial"/>
          <w:sz w:val="28"/>
          <w:szCs w:val="28"/>
        </w:rPr>
        <w:t xml:space="preserve"> </w:t>
      </w:r>
      <w:r w:rsidRPr="007835FE">
        <w:rPr>
          <w:rFonts w:ascii="Arial" w:hAnsi="Arial" w:cs="Arial"/>
          <w:b/>
          <w:sz w:val="28"/>
          <w:szCs w:val="28"/>
        </w:rPr>
        <w:t>Local Area Governance</w:t>
      </w:r>
    </w:p>
    <w:p w:rsidR="00FD7B26" w:rsidRDefault="00FD7B26" w:rsidP="00FD7B26">
      <w:pPr>
        <w:rPr>
          <w:rFonts w:ascii="Arial" w:hAnsi="Arial" w:cs="Arial"/>
        </w:rPr>
      </w:pPr>
      <w:r w:rsidRPr="004E5BDE">
        <w:rPr>
          <w:rFonts w:ascii="Arial" w:hAnsi="Arial" w:cs="Arial"/>
        </w:rPr>
        <w:t>The Local Board represents a wide variety of individuals, businesses and organizations throughout the local area.  The Local Board serves as a strategic convener to promote and broker effective relationships between chief local elected officials and economic, education and workforce partners throughout the local area.  The Local Board is responsible for developing a strategy to continuously improve and strengthen the workforce development system through innovation in, and alignment and improvement of employment, training and education programs to promote economic growth.  Local Board members must actively participate and collaborate closely with the required and other partners of the workforce development system, including public and private organizations.  This is crucial to the Local Board’s role to integrate and align a more effective, job-driven workforce d</w:t>
      </w:r>
      <w:r>
        <w:rPr>
          <w:rFonts w:ascii="Arial" w:hAnsi="Arial" w:cs="Arial"/>
        </w:rPr>
        <w:t>evelopment system.”</w:t>
      </w:r>
    </w:p>
    <w:p w:rsidR="00FD7B26" w:rsidRPr="004E5BDE" w:rsidRDefault="00FD7B26" w:rsidP="00FD7B26">
      <w:pPr>
        <w:rPr>
          <w:rFonts w:ascii="Arial" w:hAnsi="Arial" w:cs="Arial"/>
        </w:rPr>
      </w:pPr>
      <w:r w:rsidRPr="00FD7B26">
        <w:rPr>
          <w:rFonts w:ascii="Arial" w:hAnsi="Arial" w:cs="Arial"/>
          <w:vertAlign w:val="superscript"/>
        </w:rPr>
        <w:footnoteRef/>
      </w:r>
      <w:r w:rsidRPr="00FD7B26">
        <w:rPr>
          <w:rFonts w:ascii="Arial" w:hAnsi="Arial" w:cs="Arial"/>
        </w:rPr>
        <w:t xml:space="preserve"> Training and Employment Guidance Letter (TEGL) No. 19-14 Vision for the Workforce System and Initial Implementation of the Workforce Innovation and Opportunity Act p. 2</w:t>
      </w:r>
    </w:p>
    <w:p w:rsidR="00FD7B26" w:rsidRPr="00047608" w:rsidRDefault="00FD7B26" w:rsidP="00FD7B26">
      <w:pPr>
        <w:rPr>
          <w:rFonts w:ascii="Arial" w:hAnsi="Arial" w:cs="Arial"/>
        </w:rPr>
      </w:pPr>
      <w:r w:rsidRPr="00047608">
        <w:rPr>
          <w:rFonts w:ascii="Arial" w:hAnsi="Arial" w:cs="Arial"/>
          <w:b/>
          <w:sz w:val="28"/>
          <w:szCs w:val="28"/>
        </w:rPr>
        <w:t>Core Component 1.2: Policy Development</w:t>
      </w:r>
      <w:r w:rsidRPr="00047608">
        <w:rPr>
          <w:rFonts w:ascii="Arial" w:hAnsi="Arial" w:cs="Arial"/>
        </w:rPr>
        <w:t xml:space="preserve"> </w:t>
      </w:r>
    </w:p>
    <w:p w:rsidR="00FD7B26" w:rsidRPr="00047608" w:rsidRDefault="00FD7B26" w:rsidP="00FD7B26">
      <w:pPr>
        <w:rPr>
          <w:rFonts w:ascii="Arial" w:hAnsi="Arial" w:cs="Arial"/>
        </w:rPr>
      </w:pPr>
      <w:r w:rsidRPr="00047608">
        <w:rPr>
          <w:rFonts w:ascii="Arial" w:hAnsi="Arial" w:cs="Arial"/>
        </w:rPr>
        <w:t>WIOA is designed to help job seekers and workers access employment, education, training and supportive services needed to succeed in the labor market and to match employers with the skilled workers needed to compete in the global economy.  Further, the WDB must take a leadership role to ensure that the one-stop system in each state is customer driven for both job seekers and employers.  This effort includes aligning federal investments in job training, integrating service delivery across programs and ensuring that the workforce system is job-driven and matches employers with skilled individuals.”</w:t>
      </w:r>
      <w:r>
        <w:rPr>
          <w:rFonts w:ascii="Arial" w:hAnsi="Arial" w:cs="Arial"/>
          <w:vertAlign w:val="superscript"/>
        </w:rPr>
        <w:t>2</w:t>
      </w:r>
    </w:p>
    <w:p w:rsidR="001E689B" w:rsidRDefault="00FD7B26" w:rsidP="003E25FF">
      <w:pPr>
        <w:pStyle w:val="FootnoteText"/>
        <w:rPr>
          <w:rFonts w:ascii="Arial" w:hAnsi="Arial" w:cs="Arial"/>
        </w:rPr>
      </w:pPr>
      <w:r>
        <w:rPr>
          <w:rStyle w:val="FootnoteReference"/>
          <w:rFonts w:ascii="Arial" w:hAnsi="Arial" w:cs="Arial"/>
        </w:rPr>
        <w:t>2</w:t>
      </w:r>
      <w:r w:rsidRPr="00047608">
        <w:rPr>
          <w:rFonts w:ascii="Arial" w:hAnsi="Arial" w:cs="Arial"/>
        </w:rPr>
        <w:t xml:space="preserve"> TEGL 27-14 Workforce Innovation and Opportunity Act Transition Authority for Immediate Implementation of Governance Provisions p. 2</w:t>
      </w:r>
    </w:p>
    <w:p w:rsidR="003E25FF" w:rsidRPr="003E25FF" w:rsidRDefault="003E25FF" w:rsidP="003E25FF">
      <w:pPr>
        <w:pStyle w:val="FootnoteText"/>
        <w:rPr>
          <w:rFonts w:ascii="Arial" w:hAnsi="Arial" w:cs="Arial"/>
        </w:rPr>
      </w:pPr>
    </w:p>
    <w:p w:rsidR="00FD7B26" w:rsidRPr="00047608" w:rsidRDefault="00FD7B26" w:rsidP="00FD7B26">
      <w:pPr>
        <w:rPr>
          <w:rFonts w:ascii="Arial" w:hAnsi="Arial" w:cs="Arial"/>
        </w:rPr>
      </w:pPr>
      <w:r>
        <w:rPr>
          <w:rFonts w:ascii="Arial" w:hAnsi="Arial" w:cs="Arial"/>
          <w:b/>
          <w:sz w:val="28"/>
          <w:szCs w:val="28"/>
        </w:rPr>
        <w:t>Core Component 1.3: Memoranda</w:t>
      </w:r>
      <w:r w:rsidRPr="00047608">
        <w:rPr>
          <w:rFonts w:ascii="Arial" w:hAnsi="Arial" w:cs="Arial"/>
          <w:b/>
          <w:sz w:val="28"/>
          <w:szCs w:val="28"/>
        </w:rPr>
        <w:t xml:space="preserve"> of Understanding (MOU)</w:t>
      </w:r>
      <w:r>
        <w:rPr>
          <w:rFonts w:ascii="Arial" w:hAnsi="Arial" w:cs="Arial"/>
          <w:b/>
          <w:sz w:val="28"/>
          <w:szCs w:val="28"/>
        </w:rPr>
        <w:t xml:space="preserve"> and Infrastructure Funding Agreements (IFAs)</w:t>
      </w:r>
    </w:p>
    <w:p w:rsidR="00FD7B26" w:rsidRDefault="00FD7B26">
      <w:pPr>
        <w:rPr>
          <w:rFonts w:ascii="Arial" w:hAnsi="Arial" w:cs="Arial"/>
        </w:rPr>
      </w:pPr>
      <w:r w:rsidRPr="00FD7B26">
        <w:rPr>
          <w:rFonts w:ascii="Arial" w:hAnsi="Arial" w:cs="Arial"/>
        </w:rPr>
        <w:t>Refer to applicable PIs</w:t>
      </w:r>
    </w:p>
    <w:p w:rsidR="00FD7B26" w:rsidRPr="00047608" w:rsidRDefault="00FD7B26" w:rsidP="00FD7B26">
      <w:pPr>
        <w:rPr>
          <w:rFonts w:ascii="Arial" w:hAnsi="Arial" w:cs="Arial"/>
        </w:rPr>
      </w:pPr>
      <w:r w:rsidRPr="00047608">
        <w:rPr>
          <w:rFonts w:ascii="Arial" w:hAnsi="Arial" w:cs="Arial"/>
          <w:b/>
          <w:sz w:val="28"/>
          <w:szCs w:val="28"/>
        </w:rPr>
        <w:t>Core Component 1.4:  Monitoring and Oversight</w:t>
      </w:r>
    </w:p>
    <w:p w:rsidR="00FD7B26" w:rsidRDefault="00FD7B26">
      <w:pPr>
        <w:rPr>
          <w:rFonts w:ascii="Arial" w:hAnsi="Arial" w:cs="Arial"/>
        </w:rPr>
      </w:pPr>
      <w:r>
        <w:rPr>
          <w:rFonts w:ascii="Arial" w:hAnsi="Arial" w:cs="Arial"/>
        </w:rPr>
        <w:t>Refer to citations</w:t>
      </w:r>
    </w:p>
    <w:p w:rsidR="00FD7B26" w:rsidRPr="00047608" w:rsidRDefault="00FD7B26" w:rsidP="00FD7B26">
      <w:pPr>
        <w:rPr>
          <w:rFonts w:ascii="Arial" w:hAnsi="Arial" w:cs="Arial"/>
        </w:rPr>
      </w:pPr>
      <w:r>
        <w:rPr>
          <w:rFonts w:ascii="Arial" w:hAnsi="Arial" w:cs="Arial"/>
          <w:b/>
          <w:sz w:val="28"/>
          <w:szCs w:val="28"/>
        </w:rPr>
        <w:t>Core Component 1.5</w:t>
      </w:r>
      <w:r w:rsidRPr="00047608">
        <w:rPr>
          <w:rFonts w:ascii="Arial" w:hAnsi="Arial" w:cs="Arial"/>
          <w:b/>
          <w:sz w:val="28"/>
          <w:szCs w:val="28"/>
        </w:rPr>
        <w:t>: Sector Strategies and Industry Partnerships</w:t>
      </w:r>
    </w:p>
    <w:p w:rsidR="00FD7B26" w:rsidRPr="00047608" w:rsidRDefault="00FD7B26" w:rsidP="00FD7B26">
      <w:pPr>
        <w:autoSpaceDE w:val="0"/>
        <w:autoSpaceDN w:val="0"/>
        <w:adjustRightInd w:val="0"/>
        <w:rPr>
          <w:rFonts w:ascii="Arial" w:hAnsi="Arial" w:cs="Arial"/>
        </w:rPr>
      </w:pPr>
      <w:r w:rsidRPr="00047608">
        <w:rPr>
          <w:rFonts w:ascii="Arial" w:hAnsi="Arial" w:cs="Arial"/>
        </w:rPr>
        <w:lastRenderedPageBreak/>
        <w:t>The needs of businesses and workers drive workforce solutions.  “Businesses inform and guide the workforce system and access skilled talent as they shape regional workforce investments and build a pipeline of skilled workers.  This engagement includes leadership in the workforce system and active participation in the development and provision of education and training, work-based learning, career pathways, and industry sector partnerships.”</w:t>
      </w:r>
      <w:r>
        <w:rPr>
          <w:rFonts w:ascii="Arial" w:hAnsi="Arial" w:cs="Arial"/>
          <w:vertAlign w:val="superscript"/>
        </w:rPr>
        <w:t>3</w:t>
      </w:r>
      <w:r w:rsidRPr="00047608">
        <w:rPr>
          <w:rFonts w:ascii="Arial" w:hAnsi="Arial" w:cs="Arial"/>
        </w:rPr>
        <w:t xml:space="preserve"> </w:t>
      </w:r>
    </w:p>
    <w:p w:rsidR="00FD7B26" w:rsidRDefault="00FD7B26">
      <w:pPr>
        <w:rPr>
          <w:rFonts w:ascii="Arial" w:hAnsi="Arial" w:cs="Arial"/>
        </w:rPr>
      </w:pPr>
      <w:r w:rsidRPr="00FD7B26">
        <w:rPr>
          <w:rFonts w:ascii="Arial" w:hAnsi="Arial" w:cs="Arial"/>
        </w:rPr>
        <w:t>TEGL 19-14, p. 2</w:t>
      </w:r>
    </w:p>
    <w:p w:rsidR="00FD7B26" w:rsidRPr="00FD7B26" w:rsidRDefault="00FD7B26" w:rsidP="00FD7B26">
      <w:pPr>
        <w:rPr>
          <w:rFonts w:ascii="Arial" w:hAnsi="Arial" w:cs="Arial"/>
          <w:sz w:val="28"/>
          <w:szCs w:val="28"/>
        </w:rPr>
      </w:pPr>
      <w:r w:rsidRPr="007835FE">
        <w:rPr>
          <w:rFonts w:ascii="Arial" w:hAnsi="Arial" w:cs="Arial"/>
          <w:b/>
          <w:sz w:val="28"/>
          <w:szCs w:val="28"/>
        </w:rPr>
        <w:t>Core Component 2.1: One Stop Certification and Service Delivery Design</w:t>
      </w:r>
    </w:p>
    <w:p w:rsidR="00FD7B26" w:rsidRPr="00811E89" w:rsidRDefault="00FD7B26" w:rsidP="00FD7B26">
      <w:pPr>
        <w:rPr>
          <w:rFonts w:ascii="Arial" w:hAnsi="Arial" w:cs="Arial"/>
        </w:rPr>
      </w:pPr>
      <w:r w:rsidRPr="00811E89">
        <w:rPr>
          <w:rFonts w:ascii="Arial" w:hAnsi="Arial" w:cs="Arial"/>
        </w:rPr>
        <w:t>“The WIOA Adult and Dislocated formula programs, in coordination with the Wagner-Peyser (W-P) Employment Service (ES), are pivotal pieces of the one-stop delivery system, which is the foundation of the workforce system…WIOA provides for a workforce system that is universally accessible, customer centered and training that is job-driven…Training is supported through a robust Eligible Training Provider List (ETPL), comprised of entities with proven capability of securing quality employment outcomes for participants.  WIOA also provides enhanced access and flexibility for work-based training options such as Registered Apprenticeship (RA), on-the-job training, customized training and incumbent worker training.”</w:t>
      </w:r>
      <w:r>
        <w:rPr>
          <w:rFonts w:ascii="Arial" w:hAnsi="Arial" w:cs="Arial"/>
          <w:vertAlign w:val="superscript"/>
        </w:rPr>
        <w:t>4</w:t>
      </w:r>
    </w:p>
    <w:p w:rsidR="00FD7B26" w:rsidRDefault="00FD7B26" w:rsidP="00FD7B26">
      <w:pPr>
        <w:rPr>
          <w:rFonts w:ascii="Arial" w:hAnsi="Arial" w:cs="Arial"/>
        </w:rPr>
      </w:pPr>
      <w:r>
        <w:rPr>
          <w:rFonts w:ascii="Arial" w:hAnsi="Arial" w:cs="Arial"/>
          <w:vertAlign w:val="superscript"/>
        </w:rPr>
        <w:t>4</w:t>
      </w:r>
      <w:r w:rsidRPr="00FD7B26">
        <w:rPr>
          <w:rFonts w:ascii="Arial" w:hAnsi="Arial" w:cs="Arial"/>
        </w:rPr>
        <w:t xml:space="preserve"> TEGL 3-15 Guidance on Services Provided through the Adult and Dislocated Worker Program under the WIOA and WP, as amended by WIOA, and Guidance for the Transition of WIOA Services, p. 2</w:t>
      </w:r>
    </w:p>
    <w:p w:rsidR="00E604DB" w:rsidRPr="00E604DB" w:rsidRDefault="00E604DB" w:rsidP="00E604DB">
      <w:pPr>
        <w:rPr>
          <w:rFonts w:ascii="Arial" w:eastAsia="Calibri" w:hAnsi="Arial" w:cs="Arial"/>
        </w:rPr>
      </w:pPr>
      <w:r w:rsidRPr="00E604DB">
        <w:rPr>
          <w:rFonts w:ascii="Arial" w:eastAsia="Calibri" w:hAnsi="Arial" w:cs="Arial"/>
        </w:rPr>
        <w:t>The following reasons are permissible</w:t>
      </w:r>
      <w:r>
        <w:rPr>
          <w:rFonts w:ascii="Arial" w:eastAsia="Calibri" w:hAnsi="Arial" w:cs="Arial"/>
        </w:rPr>
        <w:t xml:space="preserve"> for not using ITAs</w:t>
      </w:r>
      <w:bookmarkStart w:id="0" w:name="_GoBack"/>
      <w:bookmarkEnd w:id="0"/>
      <w:r w:rsidRPr="00E604DB">
        <w:rPr>
          <w:rFonts w:ascii="Arial" w:eastAsia="Calibri" w:hAnsi="Arial" w:cs="Arial"/>
        </w:rPr>
        <w:t>:</w:t>
      </w:r>
    </w:p>
    <w:p w:rsidR="00E604DB" w:rsidRPr="00E604DB" w:rsidRDefault="00E604DB" w:rsidP="00E604DB">
      <w:pPr>
        <w:numPr>
          <w:ilvl w:val="0"/>
          <w:numId w:val="3"/>
        </w:numPr>
        <w:contextualSpacing/>
        <w:rPr>
          <w:rFonts w:ascii="Arial" w:eastAsia="Calibri" w:hAnsi="Arial" w:cs="Arial"/>
        </w:rPr>
      </w:pPr>
      <w:r w:rsidRPr="00E604DB">
        <w:rPr>
          <w:rFonts w:ascii="Arial" w:eastAsia="Calibri" w:hAnsi="Arial" w:cs="Arial"/>
        </w:rPr>
        <w:t>OJT, customized training, IWT or transitional employment;</w:t>
      </w:r>
    </w:p>
    <w:p w:rsidR="00E604DB" w:rsidRPr="00E604DB" w:rsidRDefault="00E604DB" w:rsidP="00E604DB">
      <w:pPr>
        <w:numPr>
          <w:ilvl w:val="0"/>
          <w:numId w:val="3"/>
        </w:numPr>
        <w:contextualSpacing/>
        <w:rPr>
          <w:rFonts w:ascii="Arial" w:eastAsia="Calibri" w:hAnsi="Arial" w:cs="Arial"/>
        </w:rPr>
      </w:pPr>
      <w:r w:rsidRPr="00E604DB">
        <w:rPr>
          <w:rFonts w:ascii="Arial" w:eastAsia="Calibri" w:hAnsi="Arial" w:cs="Arial"/>
        </w:rPr>
        <w:t>the local area determines there is an insufficient number of ETPs in the local area;</w:t>
      </w:r>
    </w:p>
    <w:p w:rsidR="00E604DB" w:rsidRPr="00E604DB" w:rsidRDefault="00E604DB" w:rsidP="00E604DB">
      <w:pPr>
        <w:numPr>
          <w:ilvl w:val="0"/>
          <w:numId w:val="3"/>
        </w:numPr>
        <w:contextualSpacing/>
        <w:rPr>
          <w:rFonts w:ascii="Arial" w:eastAsia="Calibri" w:hAnsi="Arial" w:cs="Arial"/>
        </w:rPr>
      </w:pPr>
      <w:r w:rsidRPr="00E604DB">
        <w:rPr>
          <w:rFonts w:ascii="Arial" w:eastAsia="Calibri" w:hAnsi="Arial" w:cs="Arial"/>
        </w:rPr>
        <w:t>the local area determines there is a program of demonstrated effectiveness offered by a community-based or private organization to serve individuals with barriers to employment;</w:t>
      </w:r>
    </w:p>
    <w:p w:rsidR="00E604DB" w:rsidRPr="00E604DB" w:rsidRDefault="00E604DB" w:rsidP="00E604DB">
      <w:pPr>
        <w:numPr>
          <w:ilvl w:val="0"/>
          <w:numId w:val="3"/>
        </w:numPr>
        <w:contextualSpacing/>
        <w:rPr>
          <w:rFonts w:ascii="Arial" w:eastAsia="Calibri" w:hAnsi="Arial" w:cs="Arial"/>
        </w:rPr>
      </w:pPr>
      <w:r w:rsidRPr="00E604DB">
        <w:rPr>
          <w:rFonts w:ascii="Arial" w:eastAsia="Calibri" w:hAnsi="Arial" w:cs="Arial"/>
        </w:rPr>
        <w:t>the local area deems it appropriate to award a contract to an institution of higher education or other ETP in order to facilitate the training of multiple individuals in in-demand sectors or occupations (while such contract doesn’t limit customer choice); or</w:t>
      </w:r>
      <w:r>
        <w:rPr>
          <w:rFonts w:ascii="Arial" w:eastAsia="Calibri" w:hAnsi="Arial" w:cs="Arial"/>
        </w:rPr>
        <w:t xml:space="preserve"> </w:t>
      </w:r>
      <w:r w:rsidRPr="00E604DB">
        <w:rPr>
          <w:rFonts w:ascii="Arial" w:eastAsia="Calibri" w:hAnsi="Arial" w:cs="Arial"/>
        </w:rPr>
        <w:t>the contract is a pay-for-performance contract</w:t>
      </w:r>
    </w:p>
    <w:p w:rsidR="00E604DB" w:rsidRDefault="00E604DB" w:rsidP="00FD7B26">
      <w:pPr>
        <w:rPr>
          <w:rFonts w:ascii="Arial" w:hAnsi="Arial" w:cs="Arial"/>
        </w:rPr>
      </w:pPr>
    </w:p>
    <w:p w:rsidR="00FD7B26" w:rsidRDefault="00FD7B26" w:rsidP="00FD7B26">
      <w:pPr>
        <w:rPr>
          <w:rFonts w:ascii="Arial" w:hAnsi="Arial" w:cs="Arial"/>
          <w:b/>
          <w:sz w:val="28"/>
          <w:szCs w:val="28"/>
        </w:rPr>
      </w:pPr>
      <w:r w:rsidRPr="007835FE">
        <w:rPr>
          <w:rFonts w:ascii="Arial" w:hAnsi="Arial" w:cs="Arial"/>
          <w:b/>
          <w:sz w:val="28"/>
          <w:szCs w:val="28"/>
        </w:rPr>
        <w:t>Core Component 2.2: Access</w:t>
      </w:r>
      <w:r w:rsidRPr="00F156ED">
        <w:rPr>
          <w:rFonts w:ascii="Arial" w:hAnsi="Arial" w:cs="Arial"/>
          <w:b/>
          <w:sz w:val="28"/>
          <w:szCs w:val="28"/>
        </w:rPr>
        <w:t>ibility</w:t>
      </w:r>
    </w:p>
    <w:p w:rsidR="00FD7B26" w:rsidRDefault="00FD7B26" w:rsidP="00FD7B26">
      <w:pPr>
        <w:rPr>
          <w:rFonts w:ascii="Arial" w:hAnsi="Arial" w:cs="Arial"/>
        </w:rPr>
      </w:pPr>
      <w:r w:rsidRPr="00FD7B26">
        <w:rPr>
          <w:rFonts w:ascii="Arial" w:hAnsi="Arial" w:cs="Arial"/>
        </w:rPr>
        <w:t>Refer to citations</w:t>
      </w:r>
    </w:p>
    <w:p w:rsidR="007063A8" w:rsidRPr="007063A8" w:rsidRDefault="007063A8" w:rsidP="007063A8">
      <w:pPr>
        <w:rPr>
          <w:rFonts w:ascii="Arial" w:hAnsi="Arial" w:cs="Arial"/>
          <w:b/>
          <w:sz w:val="28"/>
          <w:szCs w:val="28"/>
        </w:rPr>
      </w:pPr>
      <w:r>
        <w:rPr>
          <w:rFonts w:ascii="Arial" w:hAnsi="Arial" w:cs="Arial"/>
          <w:b/>
          <w:sz w:val="28"/>
          <w:szCs w:val="28"/>
        </w:rPr>
        <w:t>Core Component 2.3</w:t>
      </w:r>
      <w:r w:rsidRPr="007063A8">
        <w:rPr>
          <w:rFonts w:ascii="Arial" w:hAnsi="Arial" w:cs="Arial"/>
          <w:b/>
          <w:sz w:val="28"/>
          <w:szCs w:val="28"/>
        </w:rPr>
        <w:t xml:space="preserve">: </w:t>
      </w:r>
      <w:r>
        <w:rPr>
          <w:rFonts w:ascii="Arial" w:hAnsi="Arial" w:cs="Arial"/>
          <w:b/>
          <w:sz w:val="28"/>
          <w:szCs w:val="28"/>
        </w:rPr>
        <w:t>Wagner-Peyser</w:t>
      </w:r>
    </w:p>
    <w:p w:rsidR="007063A8" w:rsidRDefault="007063A8" w:rsidP="00FD7B26">
      <w:pPr>
        <w:rPr>
          <w:rFonts w:ascii="Arial" w:hAnsi="Arial" w:cs="Arial"/>
          <w:szCs w:val="28"/>
        </w:rPr>
      </w:pPr>
      <w:r w:rsidRPr="007063A8">
        <w:rPr>
          <w:rFonts w:ascii="Arial" w:hAnsi="Arial" w:cs="Arial"/>
          <w:szCs w:val="28"/>
        </w:rPr>
        <w:t xml:space="preserve">The Wagner-Peyser (W-P) Act of June 1933, as amended by the Workforce Innovation Opportunity Act (WIOA) of January 2014, established the Employment Service (ES) System.  This One-Stop delivery system is the labor exchange process that matches employer job </w:t>
      </w:r>
      <w:r w:rsidRPr="007063A8">
        <w:rPr>
          <w:rFonts w:ascii="Arial" w:hAnsi="Arial" w:cs="Arial"/>
          <w:szCs w:val="28"/>
        </w:rPr>
        <w:lastRenderedPageBreak/>
        <w:t>openings with qualified job seekers and provides labor market information, career development assistance, and the Unemployment Insurance’s (UI) work tests.  Bringing together job seekers and employers is the goal of this system.</w:t>
      </w:r>
    </w:p>
    <w:p w:rsidR="007063A8" w:rsidRDefault="007063A8" w:rsidP="00FD7B26">
      <w:pPr>
        <w:rPr>
          <w:rFonts w:ascii="Arial" w:hAnsi="Arial" w:cs="Arial"/>
          <w:szCs w:val="28"/>
        </w:rPr>
      </w:pPr>
      <w:r w:rsidRPr="007063A8">
        <w:rPr>
          <w:rFonts w:ascii="Arial" w:hAnsi="Arial" w:cs="Arial"/>
          <w:szCs w:val="28"/>
        </w:rPr>
        <w:t>The Reemployment Services and Eligibility Assessment (RESEA) program provides customized services to claimants deemed most likely to exhaust their Unemployment Insurance benefits.  This program replaced the mandatory Profiling Program.</w:t>
      </w:r>
    </w:p>
    <w:p w:rsidR="007063A8" w:rsidRPr="007063A8" w:rsidRDefault="007063A8" w:rsidP="00FD7B26">
      <w:pPr>
        <w:rPr>
          <w:rFonts w:ascii="Arial" w:hAnsi="Arial" w:cs="Arial"/>
          <w:szCs w:val="28"/>
        </w:rPr>
      </w:pPr>
      <w:r w:rsidRPr="007063A8">
        <w:rPr>
          <w:rFonts w:ascii="Arial" w:hAnsi="Arial" w:cs="Arial"/>
          <w:szCs w:val="28"/>
        </w:rPr>
        <w:t>The Work-Based Training program provides career services and work-based training opportunity, such as apprenticeships, customized training and On-the-Job Training, to allow claimants at risk of exhausting their unemployment benefits an opportunity to “earn and learn.”</w:t>
      </w:r>
    </w:p>
    <w:p w:rsidR="00FD7B26" w:rsidRPr="00FD7B26" w:rsidRDefault="00FD7B26" w:rsidP="00FD7B26">
      <w:pPr>
        <w:rPr>
          <w:rFonts w:ascii="Arial" w:hAnsi="Arial" w:cs="Arial"/>
        </w:rPr>
      </w:pPr>
      <w:r>
        <w:rPr>
          <w:rFonts w:ascii="Arial" w:hAnsi="Arial" w:cs="Arial"/>
          <w:b/>
          <w:sz w:val="28"/>
          <w:szCs w:val="28"/>
        </w:rPr>
        <w:t>Core Component 3</w:t>
      </w:r>
      <w:r w:rsidRPr="00047608">
        <w:rPr>
          <w:rFonts w:ascii="Arial" w:hAnsi="Arial" w:cs="Arial"/>
          <w:b/>
          <w:sz w:val="28"/>
          <w:szCs w:val="28"/>
        </w:rPr>
        <w:t>.1:</w:t>
      </w:r>
      <w:r w:rsidRPr="00047608">
        <w:rPr>
          <w:rFonts w:ascii="Arial" w:hAnsi="Arial" w:cs="Arial"/>
          <w:b/>
        </w:rPr>
        <w:t xml:space="preserve"> </w:t>
      </w:r>
      <w:r w:rsidRPr="00047608">
        <w:rPr>
          <w:rFonts w:ascii="Arial" w:hAnsi="Arial" w:cs="Arial"/>
          <w:b/>
          <w:sz w:val="28"/>
          <w:szCs w:val="28"/>
        </w:rPr>
        <w:t xml:space="preserve">Transitional Jobs </w:t>
      </w:r>
    </w:p>
    <w:p w:rsidR="00FD7B26" w:rsidRPr="00047608" w:rsidRDefault="00FD7B26" w:rsidP="00FD7B26">
      <w:pPr>
        <w:rPr>
          <w:rFonts w:ascii="Arial" w:hAnsi="Arial" w:cs="Arial"/>
        </w:rPr>
      </w:pPr>
      <w:r w:rsidRPr="00047608">
        <w:rPr>
          <w:rFonts w:ascii="Arial" w:hAnsi="Arial" w:cs="Arial"/>
        </w:rPr>
        <w:t>“Transitional jobs are:</w:t>
      </w:r>
    </w:p>
    <w:p w:rsidR="00FD7B26" w:rsidRPr="00047608" w:rsidRDefault="00FD7B26" w:rsidP="00FD7B26">
      <w:pPr>
        <w:pStyle w:val="ListParagraph"/>
        <w:numPr>
          <w:ilvl w:val="0"/>
          <w:numId w:val="1"/>
        </w:numPr>
        <w:rPr>
          <w:rFonts w:ascii="Arial" w:hAnsi="Arial" w:cs="Arial"/>
        </w:rPr>
      </w:pPr>
      <w:r w:rsidRPr="00047608">
        <w:rPr>
          <w:rFonts w:ascii="Arial" w:hAnsi="Arial" w:cs="Arial"/>
        </w:rPr>
        <w:t xml:space="preserve">time-limited work experiences that are subsidized and are in the public, private, or nonprofit sectors for individuals with barriers to employment who are chronically unemployed or have an inconsistent work history; </w:t>
      </w:r>
    </w:p>
    <w:p w:rsidR="00FD7B26" w:rsidRPr="00FD7B26" w:rsidRDefault="00FD7B26" w:rsidP="00FD7B26">
      <w:pPr>
        <w:pStyle w:val="ListParagraph"/>
        <w:numPr>
          <w:ilvl w:val="0"/>
          <w:numId w:val="1"/>
        </w:numPr>
        <w:rPr>
          <w:rFonts w:ascii="Arial" w:hAnsi="Arial" w:cs="Arial"/>
        </w:rPr>
      </w:pPr>
      <w:r w:rsidRPr="00047608">
        <w:rPr>
          <w:rFonts w:ascii="Arial" w:hAnsi="Arial" w:cs="Arial"/>
        </w:rPr>
        <w:t>combined with comprehensive employment and supportive services.</w:t>
      </w:r>
    </w:p>
    <w:p w:rsidR="00FD7B26" w:rsidRPr="00047608" w:rsidRDefault="00FD7B26" w:rsidP="00FD7B26">
      <w:pPr>
        <w:rPr>
          <w:rFonts w:ascii="Arial" w:hAnsi="Arial" w:cs="Arial"/>
        </w:rPr>
      </w:pPr>
      <w:r w:rsidRPr="00047608">
        <w:rPr>
          <w:rFonts w:ascii="Arial" w:hAnsi="Arial" w:cs="Arial"/>
        </w:rPr>
        <w:t>The goal of transitional jobs is to establish a work history for the individual that demonstrates success in the workplace, and develop the skills that lead to entry into and retention in unsubsidized employment.  Unlike OJT, there is no assumption that the individual will be retained in their transitional job after the experience is over, though that would be a successful outcome.  Under Section 134(d)(5) of WIOA, local boards may use up to 10 percent of their adult and dislocated worker funds to provide transitional jobs to individuals.”</w:t>
      </w:r>
      <w:r>
        <w:rPr>
          <w:rStyle w:val="FootnoteReference"/>
          <w:rFonts w:ascii="Arial" w:hAnsi="Arial" w:cs="Arial"/>
        </w:rPr>
        <w:t>5</w:t>
      </w:r>
    </w:p>
    <w:p w:rsidR="00FD7B26" w:rsidRPr="00FD7B26" w:rsidRDefault="00FD7B26" w:rsidP="00FD7B26">
      <w:pPr>
        <w:rPr>
          <w:rFonts w:ascii="Arial" w:hAnsi="Arial" w:cs="Arial"/>
        </w:rPr>
      </w:pPr>
      <w:r>
        <w:rPr>
          <w:rFonts w:ascii="Arial" w:hAnsi="Arial" w:cs="Arial"/>
          <w:vertAlign w:val="superscript"/>
        </w:rPr>
        <w:t>5</w:t>
      </w:r>
      <w:r w:rsidRPr="00FD7B26">
        <w:rPr>
          <w:rFonts w:ascii="Arial" w:hAnsi="Arial" w:cs="Arial"/>
          <w:lang w:val="es-DO"/>
        </w:rPr>
        <w:t xml:space="preserve"> TEGL 3-15, p. 13</w:t>
      </w:r>
    </w:p>
    <w:p w:rsidR="00923B67" w:rsidRDefault="00923B67" w:rsidP="00FD7B26">
      <w:pPr>
        <w:rPr>
          <w:rFonts w:ascii="Arial" w:hAnsi="Arial" w:cs="Arial"/>
          <w:b/>
          <w:sz w:val="28"/>
          <w:szCs w:val="28"/>
        </w:rPr>
      </w:pPr>
    </w:p>
    <w:p w:rsidR="00FD7B26" w:rsidRPr="00FD7B26" w:rsidRDefault="00FD7B26" w:rsidP="00FD7B26">
      <w:pPr>
        <w:rPr>
          <w:rFonts w:ascii="Arial" w:hAnsi="Arial" w:cs="Arial"/>
          <w:b/>
          <w:sz w:val="28"/>
          <w:szCs w:val="28"/>
        </w:rPr>
      </w:pPr>
      <w:r w:rsidRPr="007835FE">
        <w:rPr>
          <w:rFonts w:ascii="Arial" w:hAnsi="Arial" w:cs="Arial"/>
          <w:b/>
          <w:sz w:val="28"/>
          <w:szCs w:val="28"/>
        </w:rPr>
        <w:t>Core Component 3.2:</w:t>
      </w:r>
      <w:r w:rsidRPr="007835FE">
        <w:rPr>
          <w:rFonts w:ascii="Arial" w:hAnsi="Arial" w:cs="Arial"/>
          <w:sz w:val="28"/>
          <w:szCs w:val="28"/>
        </w:rPr>
        <w:t xml:space="preserve"> </w:t>
      </w:r>
      <w:r w:rsidRPr="007835FE">
        <w:rPr>
          <w:rFonts w:ascii="Arial" w:hAnsi="Arial" w:cs="Arial"/>
          <w:b/>
          <w:sz w:val="28"/>
          <w:szCs w:val="28"/>
        </w:rPr>
        <w:t xml:space="preserve">Incumbent Worker Training </w:t>
      </w:r>
    </w:p>
    <w:p w:rsidR="00FD7B26" w:rsidRDefault="00FD7B26" w:rsidP="00FD7B26">
      <w:pPr>
        <w:rPr>
          <w:rStyle w:val="FootnoteReference"/>
          <w:rFonts w:ascii="Arial" w:hAnsi="Arial" w:cs="Arial"/>
        </w:rPr>
      </w:pPr>
      <w:r w:rsidRPr="00047608">
        <w:rPr>
          <w:rFonts w:ascii="Arial" w:hAnsi="Arial" w:cs="Arial"/>
          <w:color w:val="FF0000"/>
        </w:rPr>
        <w:t xml:space="preserve"> </w:t>
      </w:r>
      <w:r w:rsidRPr="00047608">
        <w:rPr>
          <w:rFonts w:ascii="Arial" w:hAnsi="Arial" w:cs="Arial"/>
        </w:rPr>
        <w:t>“Incumbent Worker training provides both workers and employers with the opportunity to build and maintain a quality workforce.  Incumbent Worker training can be used to help avert potential layoffs of employees, or to increase the skill levels of employees so they can be promoted within the company and create backfill opportunities for the employers.  Under Section 134(d) of WIOA, local boards can use up to 20 percent of their adult and dislocated worker funds to provide for the federal share of the cost of provi</w:t>
      </w:r>
      <w:r>
        <w:rPr>
          <w:rFonts w:ascii="Arial" w:hAnsi="Arial" w:cs="Arial"/>
        </w:rPr>
        <w:t>ding Incumbent Worker training.</w:t>
      </w:r>
      <w:r w:rsidRPr="00047608">
        <w:rPr>
          <w:rFonts w:ascii="Arial" w:hAnsi="Arial" w:cs="Arial"/>
        </w:rPr>
        <w:t xml:space="preserve">“ </w:t>
      </w:r>
      <w:r w:rsidR="003E25FF">
        <w:rPr>
          <w:rStyle w:val="FootnoteReference"/>
          <w:rFonts w:ascii="Arial" w:hAnsi="Arial" w:cs="Arial"/>
        </w:rPr>
        <w:t>6</w:t>
      </w:r>
    </w:p>
    <w:p w:rsidR="003E25FF" w:rsidRPr="00047608" w:rsidRDefault="003E25FF" w:rsidP="00FD7B26">
      <w:pPr>
        <w:rPr>
          <w:rFonts w:ascii="Arial" w:hAnsi="Arial" w:cs="Arial"/>
        </w:rPr>
      </w:pPr>
      <w:r>
        <w:rPr>
          <w:rFonts w:ascii="Arial" w:hAnsi="Arial" w:cs="Arial"/>
          <w:vertAlign w:val="superscript"/>
        </w:rPr>
        <w:t>6</w:t>
      </w:r>
      <w:r w:rsidRPr="003E25FF">
        <w:rPr>
          <w:rFonts w:ascii="Arial" w:hAnsi="Arial" w:cs="Arial"/>
          <w:lang w:val="es-DO"/>
        </w:rPr>
        <w:t xml:space="preserve"> TEGL 3-15, p. 12</w:t>
      </w:r>
    </w:p>
    <w:p w:rsidR="003E25FF" w:rsidRPr="003E25FF" w:rsidRDefault="003E25FF" w:rsidP="003E25FF">
      <w:pPr>
        <w:rPr>
          <w:rFonts w:ascii="Arial" w:hAnsi="Arial" w:cs="Arial"/>
          <w:sz w:val="28"/>
          <w:szCs w:val="28"/>
        </w:rPr>
      </w:pPr>
      <w:r w:rsidRPr="007835FE">
        <w:rPr>
          <w:rFonts w:ascii="Arial" w:hAnsi="Arial" w:cs="Arial"/>
          <w:b/>
          <w:sz w:val="28"/>
          <w:szCs w:val="28"/>
        </w:rPr>
        <w:t>Core Component 3.3: Apprenticeship</w:t>
      </w:r>
    </w:p>
    <w:p w:rsidR="003E25FF" w:rsidRDefault="003E25FF" w:rsidP="003E25FF">
      <w:pPr>
        <w:rPr>
          <w:rFonts w:ascii="Arial" w:hAnsi="Arial" w:cs="Arial"/>
        </w:rPr>
      </w:pPr>
      <w:r w:rsidRPr="00047608">
        <w:rPr>
          <w:rFonts w:ascii="Arial" w:hAnsi="Arial" w:cs="Arial"/>
        </w:rPr>
        <w:t xml:space="preserve">“Registered Apprenticeship (RA) is an important component of potential training and employment services that the workforce system can provide to its customers.  We encourage </w:t>
      </w:r>
      <w:r w:rsidRPr="00047608">
        <w:rPr>
          <w:rFonts w:ascii="Arial" w:hAnsi="Arial" w:cs="Arial"/>
        </w:rPr>
        <w:lastRenderedPageBreak/>
        <w:t>local areas to use RA…as a career pathway for job seekers and as a job-driven strategy for employers and industries.”</w:t>
      </w:r>
      <w:r>
        <w:rPr>
          <w:rStyle w:val="FootnoteReference"/>
          <w:rFonts w:ascii="Arial" w:hAnsi="Arial" w:cs="Arial"/>
        </w:rPr>
        <w:t>7</w:t>
      </w:r>
    </w:p>
    <w:p w:rsidR="003E25FF" w:rsidRDefault="003E25FF" w:rsidP="003E25FF">
      <w:pPr>
        <w:rPr>
          <w:rFonts w:ascii="Arial" w:hAnsi="Arial" w:cs="Arial"/>
          <w:lang w:val="es-DO"/>
        </w:rPr>
      </w:pPr>
      <w:r>
        <w:rPr>
          <w:rFonts w:ascii="Arial" w:hAnsi="Arial" w:cs="Arial"/>
          <w:vertAlign w:val="superscript"/>
        </w:rPr>
        <w:t xml:space="preserve">7 </w:t>
      </w:r>
      <w:r w:rsidRPr="003E25FF">
        <w:rPr>
          <w:rFonts w:ascii="Arial" w:hAnsi="Arial" w:cs="Arial"/>
          <w:lang w:val="es-DO"/>
        </w:rPr>
        <w:t>TEGL 3-15, p. 10</w:t>
      </w:r>
    </w:p>
    <w:p w:rsidR="003E25FF" w:rsidRPr="003E25FF" w:rsidRDefault="003E25FF" w:rsidP="003E25FF">
      <w:pPr>
        <w:rPr>
          <w:rFonts w:ascii="Arial" w:hAnsi="Arial" w:cs="Arial"/>
          <w:b/>
          <w:sz w:val="28"/>
          <w:szCs w:val="28"/>
        </w:rPr>
      </w:pPr>
      <w:r w:rsidRPr="007835FE">
        <w:rPr>
          <w:rFonts w:ascii="Arial" w:hAnsi="Arial" w:cs="Arial"/>
          <w:b/>
          <w:sz w:val="28"/>
          <w:szCs w:val="28"/>
        </w:rPr>
        <w:t>Core Component 3.4:</w:t>
      </w:r>
      <w:r w:rsidRPr="007835FE">
        <w:rPr>
          <w:rFonts w:ascii="Arial" w:hAnsi="Arial" w:cs="Arial"/>
          <w:sz w:val="28"/>
          <w:szCs w:val="28"/>
        </w:rPr>
        <w:t xml:space="preserve"> </w:t>
      </w:r>
      <w:r w:rsidRPr="007835FE">
        <w:rPr>
          <w:rFonts w:ascii="Arial" w:hAnsi="Arial" w:cs="Arial"/>
          <w:b/>
          <w:sz w:val="28"/>
          <w:szCs w:val="28"/>
        </w:rPr>
        <w:t>Other Alternatives</w:t>
      </w:r>
    </w:p>
    <w:p w:rsidR="003E25FF" w:rsidRDefault="003E25FF" w:rsidP="003E25FF">
      <w:pPr>
        <w:rPr>
          <w:rStyle w:val="FootnoteReference"/>
          <w:rFonts w:ascii="Arial" w:hAnsi="Arial" w:cs="Arial"/>
        </w:rPr>
      </w:pPr>
      <w:r w:rsidRPr="007835FE">
        <w:rPr>
          <w:rFonts w:ascii="Arial" w:hAnsi="Arial" w:cs="Arial"/>
        </w:rPr>
        <w:t>“Training services can be critical to the employment success of many adults and dislocated workers…Training must be linked to in-demand employment opportunities in the local area or planning region or in a geographic area in which the adult or dislocated worker is willing to commute or relocate.  The selection of training services should be conducted in a manner that maximizes customer choice, is linked to in-demand occupations, informed by the performance of relevant training providers and coordinated to the extent possible with other sources of assistance.”</w:t>
      </w:r>
      <w:r>
        <w:rPr>
          <w:rStyle w:val="FootnoteReference"/>
          <w:rFonts w:ascii="Arial" w:hAnsi="Arial" w:cs="Arial"/>
        </w:rPr>
        <w:t>8</w:t>
      </w:r>
    </w:p>
    <w:p w:rsidR="003E25FF" w:rsidRDefault="003E25FF" w:rsidP="003E25FF">
      <w:pPr>
        <w:rPr>
          <w:rStyle w:val="FootnoteReference"/>
          <w:rFonts w:ascii="Arial" w:hAnsi="Arial" w:cs="Arial"/>
        </w:rPr>
      </w:pPr>
      <w:r>
        <w:rPr>
          <w:rFonts w:ascii="Arial" w:hAnsi="Arial" w:cs="Arial"/>
          <w:vertAlign w:val="superscript"/>
        </w:rPr>
        <w:t>8</w:t>
      </w:r>
      <w:r w:rsidRPr="003E25FF">
        <w:rPr>
          <w:rFonts w:ascii="Arial" w:hAnsi="Arial" w:cs="Arial"/>
        </w:rPr>
        <w:t xml:space="preserve"> TEGL 3-15, p. 6</w:t>
      </w:r>
    </w:p>
    <w:p w:rsidR="003E25FF" w:rsidRPr="003E25FF" w:rsidRDefault="003E25FF" w:rsidP="003E25FF">
      <w:pPr>
        <w:rPr>
          <w:rFonts w:ascii="Arial" w:hAnsi="Arial" w:cs="Arial"/>
          <w:sz w:val="28"/>
          <w:szCs w:val="28"/>
        </w:rPr>
      </w:pPr>
      <w:r w:rsidRPr="007835FE">
        <w:rPr>
          <w:rFonts w:ascii="Arial" w:hAnsi="Arial" w:cs="Arial"/>
          <w:b/>
          <w:sz w:val="28"/>
          <w:szCs w:val="28"/>
        </w:rPr>
        <w:t>Core Component 3.5: Eligible Training Providers</w:t>
      </w:r>
    </w:p>
    <w:p w:rsidR="003E25FF" w:rsidRDefault="003E25FF" w:rsidP="003E25FF">
      <w:pPr>
        <w:rPr>
          <w:rStyle w:val="FootnoteReference"/>
          <w:rFonts w:ascii="Arial" w:hAnsi="Arial" w:cs="Arial"/>
        </w:rPr>
      </w:pPr>
      <w:r w:rsidRPr="00047608">
        <w:rPr>
          <w:rFonts w:ascii="Arial" w:hAnsi="Arial" w:cs="Arial"/>
        </w:rPr>
        <w:t>“As required by WIOA Section 122, states, in partnership with local boards, must identify eligible training providers that are qualified to receive WIOA Title I-B funds to train adults and dislocated workers, including those with disabilities.  Therefore, WIOA requires that each state must maintain a list of eligible training providers and their eligible training programs.  The list must be accompanied by relevant performance and cost information and must be made widely available, including in electronic formats and presented in a way that is easily understood in order to maximize informed customer choice and serve all significant population groups.”</w:t>
      </w:r>
      <w:r>
        <w:rPr>
          <w:rStyle w:val="FootnoteReference"/>
          <w:rFonts w:ascii="Arial" w:hAnsi="Arial" w:cs="Arial"/>
        </w:rPr>
        <w:t>9</w:t>
      </w:r>
    </w:p>
    <w:p w:rsidR="003E25FF" w:rsidRDefault="003E25FF" w:rsidP="003E25FF">
      <w:pPr>
        <w:rPr>
          <w:rFonts w:ascii="Arial" w:hAnsi="Arial" w:cs="Arial"/>
        </w:rPr>
      </w:pPr>
      <w:r>
        <w:rPr>
          <w:rFonts w:ascii="Arial" w:hAnsi="Arial" w:cs="Arial"/>
          <w:vertAlign w:val="superscript"/>
        </w:rPr>
        <w:t>9</w:t>
      </w:r>
      <w:r w:rsidRPr="003E25FF">
        <w:rPr>
          <w:rFonts w:ascii="Arial" w:hAnsi="Arial" w:cs="Arial"/>
        </w:rPr>
        <w:t xml:space="preserve"> TEGL 41-14, p. 2</w:t>
      </w:r>
    </w:p>
    <w:p w:rsidR="003E25FF" w:rsidRDefault="003E25FF" w:rsidP="003E25FF">
      <w:pPr>
        <w:rPr>
          <w:rFonts w:ascii="Arial" w:hAnsi="Arial" w:cs="Arial"/>
          <w:b/>
          <w:sz w:val="28"/>
        </w:rPr>
      </w:pPr>
      <w:r w:rsidRPr="003E25FF">
        <w:rPr>
          <w:rFonts w:ascii="Arial" w:hAnsi="Arial" w:cs="Arial"/>
          <w:b/>
          <w:sz w:val="28"/>
        </w:rPr>
        <w:t>Core Component 4.1: Local WDBs and Training Providers</w:t>
      </w:r>
    </w:p>
    <w:p w:rsidR="003E25FF" w:rsidRDefault="003E25FF" w:rsidP="003E25FF">
      <w:pPr>
        <w:rPr>
          <w:rFonts w:ascii="Arial" w:hAnsi="Arial" w:cs="Arial"/>
        </w:rPr>
      </w:pPr>
      <w:r w:rsidRPr="003E25FF">
        <w:rPr>
          <w:rFonts w:ascii="Arial" w:hAnsi="Arial" w:cs="Arial"/>
        </w:rPr>
        <w:t>Refer to citations</w:t>
      </w:r>
      <w:r>
        <w:rPr>
          <w:rFonts w:ascii="Arial" w:hAnsi="Arial" w:cs="Arial"/>
        </w:rPr>
        <w:t xml:space="preserve"> listed or:</w:t>
      </w:r>
    </w:p>
    <w:p w:rsidR="003E25FF" w:rsidRPr="00485D95" w:rsidRDefault="003E25FF" w:rsidP="003E25FF">
      <w:pPr>
        <w:pStyle w:val="ListParagraph"/>
        <w:numPr>
          <w:ilvl w:val="0"/>
          <w:numId w:val="2"/>
        </w:numPr>
        <w:autoSpaceDE w:val="0"/>
        <w:autoSpaceDN w:val="0"/>
        <w:adjustRightInd w:val="0"/>
        <w:spacing w:after="0" w:line="240" w:lineRule="auto"/>
        <w:contextualSpacing w:val="0"/>
        <w:rPr>
          <w:rFonts w:ascii="Arial" w:hAnsi="Arial" w:cs="Arial"/>
          <w:bCs/>
          <w:color w:val="000000"/>
        </w:rPr>
      </w:pPr>
      <w:r w:rsidRPr="00485D95">
        <w:rPr>
          <w:rFonts w:ascii="Arial" w:hAnsi="Arial" w:cs="Arial"/>
        </w:rPr>
        <w:t xml:space="preserve">TEGL 21-16: </w:t>
      </w:r>
      <w:hyperlink r:id="rId7" w:tgtFrame="_blank" w:tooltip="Third WIOA Youth Program Transition Guidance (March 2017)" w:history="1">
        <w:r w:rsidRPr="00485D95">
          <w:rPr>
            <w:rStyle w:val="Hyperlink"/>
            <w:rFonts w:ascii="Arial" w:hAnsi="Arial" w:cs="Arial"/>
            <w:bCs/>
            <w:lang w:val="en"/>
          </w:rPr>
          <w:t>Third WIOA Youth Program Transition Guidance (March 2017)</w:t>
        </w:r>
      </w:hyperlink>
      <w:r w:rsidRPr="00485D95">
        <w:rPr>
          <w:rFonts w:ascii="Arial" w:hAnsi="Arial" w:cs="Arial"/>
          <w:bCs/>
          <w:color w:val="000000"/>
        </w:rPr>
        <w:tab/>
      </w:r>
    </w:p>
    <w:p w:rsidR="003E25FF" w:rsidRPr="00485D95" w:rsidRDefault="003E25FF" w:rsidP="003E25FF">
      <w:pPr>
        <w:pStyle w:val="ListParagraph"/>
        <w:numPr>
          <w:ilvl w:val="0"/>
          <w:numId w:val="2"/>
        </w:numPr>
        <w:autoSpaceDE w:val="0"/>
        <w:autoSpaceDN w:val="0"/>
        <w:adjustRightInd w:val="0"/>
        <w:spacing w:after="0" w:line="240" w:lineRule="auto"/>
        <w:contextualSpacing w:val="0"/>
        <w:rPr>
          <w:rFonts w:ascii="Arial" w:hAnsi="Arial" w:cs="Arial"/>
          <w:bCs/>
          <w:color w:val="000000"/>
        </w:rPr>
      </w:pPr>
      <w:r w:rsidRPr="00485D95">
        <w:rPr>
          <w:rFonts w:ascii="Arial" w:hAnsi="Arial" w:cs="Arial"/>
        </w:rPr>
        <w:t xml:space="preserve">TEGL 08-15: </w:t>
      </w:r>
      <w:hyperlink r:id="rId8" w:tgtFrame="_blank" w:tooltip="Second WIOA Youth Program Transition Guidance (November 2015)" w:history="1">
        <w:r w:rsidRPr="00485D95">
          <w:rPr>
            <w:rStyle w:val="Hyperlink"/>
            <w:rFonts w:ascii="Arial" w:hAnsi="Arial" w:cs="Arial"/>
            <w:bCs/>
            <w:lang w:val="en"/>
          </w:rPr>
          <w:t>Second WIOA Youth Program Transition Guidance (November 2015)</w:t>
        </w:r>
      </w:hyperlink>
    </w:p>
    <w:p w:rsidR="003E25FF" w:rsidRPr="00485D95" w:rsidRDefault="003E25FF" w:rsidP="003E25FF">
      <w:pPr>
        <w:pStyle w:val="ListParagraph"/>
        <w:numPr>
          <w:ilvl w:val="0"/>
          <w:numId w:val="2"/>
        </w:numPr>
        <w:autoSpaceDE w:val="0"/>
        <w:autoSpaceDN w:val="0"/>
        <w:adjustRightInd w:val="0"/>
        <w:spacing w:after="0" w:line="240" w:lineRule="auto"/>
        <w:contextualSpacing w:val="0"/>
        <w:rPr>
          <w:rFonts w:ascii="Arial" w:hAnsi="Arial" w:cs="Arial"/>
          <w:bCs/>
          <w:color w:val="000000"/>
        </w:rPr>
      </w:pPr>
      <w:r w:rsidRPr="00485D95">
        <w:rPr>
          <w:rFonts w:ascii="Arial" w:hAnsi="Arial" w:cs="Arial"/>
        </w:rPr>
        <w:t xml:space="preserve">TEGL 23-14: </w:t>
      </w:r>
      <w:hyperlink r:id="rId9" w:tgtFrame="_blank" w:tooltip="WIOA Youth Program Transition Guidance (March 2015)" w:history="1">
        <w:r w:rsidRPr="00485D95">
          <w:rPr>
            <w:rStyle w:val="Hyperlink"/>
            <w:rFonts w:ascii="Arial" w:hAnsi="Arial" w:cs="Arial"/>
            <w:bCs/>
            <w:lang w:val="en"/>
          </w:rPr>
          <w:t>WIOA Youth Program Transition Guidance (March 2015)</w:t>
        </w:r>
      </w:hyperlink>
    </w:p>
    <w:p w:rsidR="003E25FF" w:rsidRPr="003E25FF" w:rsidRDefault="003E25FF" w:rsidP="003E25FF">
      <w:pPr>
        <w:rPr>
          <w:rFonts w:ascii="Arial" w:hAnsi="Arial" w:cs="Arial"/>
        </w:rPr>
      </w:pPr>
    </w:p>
    <w:p w:rsidR="003E25FF" w:rsidRDefault="003E25FF" w:rsidP="003E25FF">
      <w:pPr>
        <w:spacing w:after="0" w:line="240" w:lineRule="auto"/>
        <w:rPr>
          <w:rFonts w:ascii="Arial" w:hAnsi="Arial" w:cs="Arial"/>
          <w:b/>
          <w:sz w:val="28"/>
        </w:rPr>
      </w:pPr>
      <w:r w:rsidRPr="006674B1">
        <w:rPr>
          <w:rFonts w:ascii="Arial" w:hAnsi="Arial" w:cs="Arial"/>
          <w:b/>
          <w:sz w:val="28"/>
        </w:rPr>
        <w:t>Core Component 4.2 Use of Funds for Youth Workforce Investment Activities</w:t>
      </w:r>
    </w:p>
    <w:p w:rsidR="003E25FF" w:rsidRPr="003E25FF" w:rsidRDefault="003E25FF" w:rsidP="003E25FF">
      <w:pPr>
        <w:spacing w:after="0" w:line="240" w:lineRule="auto"/>
        <w:rPr>
          <w:rFonts w:ascii="Arial" w:hAnsi="Arial" w:cs="Arial"/>
          <w:b/>
          <w:sz w:val="28"/>
        </w:rPr>
      </w:pPr>
    </w:p>
    <w:p w:rsidR="003E25FF" w:rsidRDefault="003E25FF" w:rsidP="003E25FF">
      <w:pPr>
        <w:rPr>
          <w:rFonts w:ascii="Arial" w:hAnsi="Arial" w:cs="Arial"/>
        </w:rPr>
      </w:pPr>
      <w:r w:rsidRPr="003E25FF">
        <w:rPr>
          <w:rFonts w:ascii="Arial" w:hAnsi="Arial" w:cs="Arial"/>
        </w:rPr>
        <w:t>Refer to citations</w:t>
      </w:r>
      <w:r>
        <w:rPr>
          <w:rFonts w:ascii="Arial" w:hAnsi="Arial" w:cs="Arial"/>
        </w:rPr>
        <w:t xml:space="preserve"> listed or:</w:t>
      </w:r>
    </w:p>
    <w:p w:rsidR="003E25FF" w:rsidRPr="00485D95" w:rsidRDefault="003E25FF" w:rsidP="003E25FF">
      <w:pPr>
        <w:pStyle w:val="ListParagraph"/>
        <w:numPr>
          <w:ilvl w:val="0"/>
          <w:numId w:val="2"/>
        </w:numPr>
        <w:autoSpaceDE w:val="0"/>
        <w:autoSpaceDN w:val="0"/>
        <w:adjustRightInd w:val="0"/>
        <w:spacing w:after="0" w:line="240" w:lineRule="auto"/>
        <w:contextualSpacing w:val="0"/>
        <w:rPr>
          <w:rFonts w:ascii="Arial" w:hAnsi="Arial" w:cs="Arial"/>
          <w:bCs/>
          <w:color w:val="000000"/>
        </w:rPr>
      </w:pPr>
      <w:r w:rsidRPr="00485D95">
        <w:rPr>
          <w:rFonts w:ascii="Arial" w:hAnsi="Arial" w:cs="Arial"/>
        </w:rPr>
        <w:t xml:space="preserve">TEGL 21-16: </w:t>
      </w:r>
      <w:hyperlink r:id="rId10" w:tgtFrame="_blank" w:tooltip="Third WIOA Youth Program Transition Guidance (March 2017)" w:history="1">
        <w:r w:rsidRPr="00485D95">
          <w:rPr>
            <w:rStyle w:val="Hyperlink"/>
            <w:rFonts w:ascii="Arial" w:hAnsi="Arial" w:cs="Arial"/>
            <w:bCs/>
            <w:lang w:val="en"/>
          </w:rPr>
          <w:t>Third WIOA Youth Program Transition Guidance (March 2017)</w:t>
        </w:r>
      </w:hyperlink>
      <w:r w:rsidRPr="00485D95">
        <w:rPr>
          <w:rFonts w:ascii="Arial" w:hAnsi="Arial" w:cs="Arial"/>
          <w:bCs/>
          <w:color w:val="000000"/>
        </w:rPr>
        <w:tab/>
      </w:r>
    </w:p>
    <w:p w:rsidR="003E25FF" w:rsidRPr="00485D95" w:rsidRDefault="003E25FF" w:rsidP="003E25FF">
      <w:pPr>
        <w:pStyle w:val="ListParagraph"/>
        <w:numPr>
          <w:ilvl w:val="0"/>
          <w:numId w:val="2"/>
        </w:numPr>
        <w:autoSpaceDE w:val="0"/>
        <w:autoSpaceDN w:val="0"/>
        <w:adjustRightInd w:val="0"/>
        <w:spacing w:after="0" w:line="240" w:lineRule="auto"/>
        <w:contextualSpacing w:val="0"/>
        <w:rPr>
          <w:rFonts w:ascii="Arial" w:hAnsi="Arial" w:cs="Arial"/>
          <w:bCs/>
          <w:color w:val="000000"/>
        </w:rPr>
      </w:pPr>
      <w:r w:rsidRPr="00485D95">
        <w:rPr>
          <w:rFonts w:ascii="Arial" w:hAnsi="Arial" w:cs="Arial"/>
        </w:rPr>
        <w:t xml:space="preserve">TEGL 08-15: </w:t>
      </w:r>
      <w:hyperlink r:id="rId11" w:tgtFrame="_blank" w:tooltip="Second WIOA Youth Program Transition Guidance (November 2015)" w:history="1">
        <w:r w:rsidRPr="00485D95">
          <w:rPr>
            <w:rStyle w:val="Hyperlink"/>
            <w:rFonts w:ascii="Arial" w:hAnsi="Arial" w:cs="Arial"/>
            <w:bCs/>
            <w:lang w:val="en"/>
          </w:rPr>
          <w:t>Second WIOA Youth Program Transition Guidance (November 2015)</w:t>
        </w:r>
      </w:hyperlink>
    </w:p>
    <w:p w:rsidR="003E25FF" w:rsidRPr="00485D95" w:rsidRDefault="003E25FF" w:rsidP="003E25FF">
      <w:pPr>
        <w:pStyle w:val="ListParagraph"/>
        <w:numPr>
          <w:ilvl w:val="0"/>
          <w:numId w:val="2"/>
        </w:numPr>
        <w:autoSpaceDE w:val="0"/>
        <w:autoSpaceDN w:val="0"/>
        <w:adjustRightInd w:val="0"/>
        <w:spacing w:after="0" w:line="240" w:lineRule="auto"/>
        <w:contextualSpacing w:val="0"/>
        <w:rPr>
          <w:rFonts w:ascii="Arial" w:hAnsi="Arial" w:cs="Arial"/>
          <w:bCs/>
          <w:color w:val="000000"/>
        </w:rPr>
      </w:pPr>
      <w:r w:rsidRPr="00485D95">
        <w:rPr>
          <w:rFonts w:ascii="Arial" w:hAnsi="Arial" w:cs="Arial"/>
        </w:rPr>
        <w:t xml:space="preserve">TEGL 23-14: </w:t>
      </w:r>
      <w:hyperlink r:id="rId12" w:tgtFrame="_blank" w:tooltip="WIOA Youth Program Transition Guidance (March 2015)" w:history="1">
        <w:r w:rsidRPr="00485D95">
          <w:rPr>
            <w:rStyle w:val="Hyperlink"/>
            <w:rFonts w:ascii="Arial" w:hAnsi="Arial" w:cs="Arial"/>
            <w:bCs/>
            <w:lang w:val="en"/>
          </w:rPr>
          <w:t>WIOA Youth Program Transition Guidance (March 2015)</w:t>
        </w:r>
      </w:hyperlink>
    </w:p>
    <w:p w:rsidR="003E25FF" w:rsidRPr="007835FE" w:rsidRDefault="003E25FF" w:rsidP="003E25FF">
      <w:pPr>
        <w:rPr>
          <w:rFonts w:ascii="Arial" w:hAnsi="Arial" w:cs="Arial"/>
        </w:rPr>
      </w:pPr>
    </w:p>
    <w:p w:rsidR="003E25FF" w:rsidRDefault="003E25FF" w:rsidP="003E25FF">
      <w:pPr>
        <w:rPr>
          <w:rStyle w:val="FootnoteReference"/>
          <w:rFonts w:ascii="Arial" w:hAnsi="Arial" w:cs="Arial"/>
        </w:rPr>
      </w:pPr>
    </w:p>
    <w:p w:rsidR="003E25FF" w:rsidRPr="00047608" w:rsidRDefault="003E25FF" w:rsidP="003E25FF">
      <w:pPr>
        <w:rPr>
          <w:rFonts w:ascii="Arial" w:hAnsi="Arial" w:cs="Arial"/>
        </w:rPr>
      </w:pPr>
    </w:p>
    <w:p w:rsidR="00FD7B26" w:rsidRPr="00FD7B26" w:rsidRDefault="00FD7B26">
      <w:pPr>
        <w:rPr>
          <w:rFonts w:ascii="Arial" w:hAnsi="Arial" w:cs="Arial"/>
        </w:rPr>
      </w:pPr>
    </w:p>
    <w:sectPr w:rsidR="00FD7B26" w:rsidRPr="00FD7B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B26" w:rsidRDefault="00FD7B26" w:rsidP="00FD7B26">
      <w:pPr>
        <w:spacing w:after="0" w:line="240" w:lineRule="auto"/>
      </w:pPr>
      <w:r>
        <w:separator/>
      </w:r>
    </w:p>
  </w:endnote>
  <w:endnote w:type="continuationSeparator" w:id="0">
    <w:p w:rsidR="00FD7B26" w:rsidRDefault="00FD7B26" w:rsidP="00FD7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B26" w:rsidRDefault="00FD7B26" w:rsidP="00FD7B26">
      <w:pPr>
        <w:spacing w:after="0" w:line="240" w:lineRule="auto"/>
      </w:pPr>
      <w:r>
        <w:separator/>
      </w:r>
    </w:p>
  </w:footnote>
  <w:footnote w:type="continuationSeparator" w:id="0">
    <w:p w:rsidR="00FD7B26" w:rsidRDefault="00FD7B26" w:rsidP="00FD7B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6C5A62"/>
    <w:multiLevelType w:val="hybridMultilevel"/>
    <w:tmpl w:val="E7764D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BC66D4"/>
    <w:multiLevelType w:val="hybridMultilevel"/>
    <w:tmpl w:val="CABE68A6"/>
    <w:lvl w:ilvl="0" w:tplc="0F2443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A5264E"/>
    <w:multiLevelType w:val="hybridMultilevel"/>
    <w:tmpl w:val="596E5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B26"/>
    <w:rsid w:val="001E689B"/>
    <w:rsid w:val="003E25FF"/>
    <w:rsid w:val="007063A8"/>
    <w:rsid w:val="00923B67"/>
    <w:rsid w:val="00AF717E"/>
    <w:rsid w:val="00E604DB"/>
    <w:rsid w:val="00FD7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AFB5B-86C0-4BD7-AEB8-2134CB9D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B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D7B26"/>
    <w:pPr>
      <w:spacing w:after="0" w:line="240" w:lineRule="auto"/>
    </w:pPr>
    <w:rPr>
      <w:sz w:val="20"/>
      <w:szCs w:val="20"/>
    </w:rPr>
  </w:style>
  <w:style w:type="character" w:customStyle="1" w:styleId="FootnoteTextChar">
    <w:name w:val="Footnote Text Char"/>
    <w:basedOn w:val="DefaultParagraphFont"/>
    <w:link w:val="FootnoteText"/>
    <w:uiPriority w:val="99"/>
    <w:rsid w:val="00FD7B26"/>
    <w:rPr>
      <w:sz w:val="20"/>
      <w:szCs w:val="20"/>
    </w:rPr>
  </w:style>
  <w:style w:type="character" w:styleId="FootnoteReference">
    <w:name w:val="footnote reference"/>
    <w:basedOn w:val="DefaultParagraphFont"/>
    <w:uiPriority w:val="99"/>
    <w:semiHidden/>
    <w:unhideWhenUsed/>
    <w:rsid w:val="00FD7B26"/>
    <w:rPr>
      <w:vertAlign w:val="superscript"/>
    </w:rPr>
  </w:style>
  <w:style w:type="paragraph" w:styleId="ListParagraph">
    <w:name w:val="List Paragraph"/>
    <w:basedOn w:val="Normal"/>
    <w:uiPriority w:val="34"/>
    <w:qFormat/>
    <w:rsid w:val="00FD7B26"/>
    <w:pPr>
      <w:ind w:left="720"/>
      <w:contextualSpacing/>
    </w:pPr>
  </w:style>
  <w:style w:type="character" w:styleId="Hyperlink">
    <w:name w:val="Hyperlink"/>
    <w:uiPriority w:val="99"/>
    <w:rsid w:val="003E25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dr.doleta.gov/directives/corr_doc.cfm?DOCN=607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dr.doleta.gov/directives/corr_doc.cfm?DOCN=7159" TargetMode="External"/><Relationship Id="rId12" Type="http://schemas.openxmlformats.org/officeDocument/2006/relationships/hyperlink" Target="https://wdr.doleta.gov/directives/corr_doc.cfm?DOCN=424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dr.doleta.gov/directives/corr_doc.cfm?DOCN=6073" TargetMode="External"/><Relationship Id="rId5" Type="http://schemas.openxmlformats.org/officeDocument/2006/relationships/footnotes" Target="footnotes.xml"/><Relationship Id="rId10" Type="http://schemas.openxmlformats.org/officeDocument/2006/relationships/hyperlink" Target="https://wdr.doleta.gov/directives/corr_doc.cfm?DOCN=7159" TargetMode="External"/><Relationship Id="rId4" Type="http://schemas.openxmlformats.org/officeDocument/2006/relationships/webSettings" Target="webSettings.xml"/><Relationship Id="rId9" Type="http://schemas.openxmlformats.org/officeDocument/2006/relationships/hyperlink" Target="https://wdr.doleta.gov/directives/corr_doc.cfm?DOCN=424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1531</Words>
  <Characters>8729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10240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Mates, Chelsea (WDA)</dc:creator>
  <cp:keywords/>
  <dc:description/>
  <cp:lastModifiedBy>Mates, Chelsea (WDA)</cp:lastModifiedBy>
  <cp:revision>5</cp:revision>
  <dcterms:created xsi:type="dcterms:W3CDTF">2018-07-11T17:45:00Z</dcterms:created>
  <dcterms:modified xsi:type="dcterms:W3CDTF">2018-07-16T15:36:00Z</dcterms:modified>
</cp:coreProperties>
</file>