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C7C19" w14:textId="7D95AB67" w:rsidR="00D00539" w:rsidRPr="003D3F7A" w:rsidRDefault="0009425E" w:rsidP="00476BB6">
      <w:pPr>
        <w:jc w:val="center"/>
        <w:rPr>
          <w:rFonts w:cs="Arial"/>
          <w:b/>
          <w:bCs/>
          <w:color w:val="FF0000"/>
        </w:rPr>
      </w:pPr>
      <w:r>
        <w:rPr>
          <w:rFonts w:cs="Arial"/>
          <w:b/>
          <w:bCs/>
          <w:color w:val="FF0000"/>
        </w:rPr>
        <w:t>CURRENT</w:t>
      </w:r>
      <w:r w:rsidR="00B20EE3" w:rsidRPr="003D3F7A">
        <w:rPr>
          <w:rFonts w:cs="Arial"/>
          <w:b/>
          <w:bCs/>
          <w:color w:val="FF0000"/>
        </w:rPr>
        <w:t xml:space="preserve"> AND LONG-TERM WORK TRENDS AMONG OLDER AMERICANS</w:t>
      </w:r>
    </w:p>
    <w:p w14:paraId="18039B37" w14:textId="77777777" w:rsidR="006C7892" w:rsidRPr="003D3F7A" w:rsidRDefault="006C7892">
      <w:pPr>
        <w:rPr>
          <w:rFonts w:cs="Arial"/>
        </w:rPr>
      </w:pPr>
    </w:p>
    <w:p w14:paraId="6F0F22AA" w14:textId="1D33A4FD" w:rsidR="00C3431D" w:rsidRPr="003D3F7A" w:rsidRDefault="00764CB7">
      <w:pPr>
        <w:rPr>
          <w:rFonts w:cs="Arial"/>
        </w:rPr>
      </w:pPr>
      <w:r>
        <w:rPr>
          <w:rFonts w:cs="Arial"/>
        </w:rPr>
        <w:t xml:space="preserve">A year ago </w:t>
      </w:r>
      <w:r w:rsidR="002E1C48" w:rsidRPr="003D3F7A">
        <w:rPr>
          <w:rFonts w:cs="Arial"/>
        </w:rPr>
        <w:t xml:space="preserve">I examined labor market trends </w:t>
      </w:r>
      <w:r w:rsidR="00DA7008" w:rsidRPr="003D3F7A">
        <w:rPr>
          <w:rFonts w:cs="Arial"/>
        </w:rPr>
        <w:t>among older Americans (55 and older) in some detail, including employment</w:t>
      </w:r>
      <w:r w:rsidR="003C3D14" w:rsidRPr="003D3F7A">
        <w:rPr>
          <w:rFonts w:cs="Arial"/>
        </w:rPr>
        <w:t xml:space="preserve"> and </w:t>
      </w:r>
      <w:r w:rsidR="00DA7008" w:rsidRPr="003D3F7A">
        <w:rPr>
          <w:rFonts w:cs="Arial"/>
        </w:rPr>
        <w:t>unemployment</w:t>
      </w:r>
      <w:r w:rsidR="003C3D14" w:rsidRPr="003D3F7A">
        <w:rPr>
          <w:rFonts w:cs="Arial"/>
        </w:rPr>
        <w:t>.  I have updated all these data through 2023</w:t>
      </w:r>
      <w:r w:rsidR="00C3431D" w:rsidRPr="003D3F7A">
        <w:rPr>
          <w:rFonts w:cs="Arial"/>
        </w:rPr>
        <w:t xml:space="preserve">, and added charts and </w:t>
      </w:r>
      <w:r w:rsidR="00B935D3" w:rsidRPr="003D3F7A">
        <w:rPr>
          <w:rFonts w:cs="Arial"/>
        </w:rPr>
        <w:t xml:space="preserve">several </w:t>
      </w:r>
      <w:r w:rsidR="00C3431D" w:rsidRPr="003D3F7A">
        <w:rPr>
          <w:rFonts w:cs="Arial"/>
        </w:rPr>
        <w:t>table</w:t>
      </w:r>
      <w:r w:rsidR="00B935D3" w:rsidRPr="003D3F7A">
        <w:rPr>
          <w:rFonts w:cs="Arial"/>
        </w:rPr>
        <w:t>s</w:t>
      </w:r>
      <w:r w:rsidR="00C3431D" w:rsidRPr="003D3F7A">
        <w:rPr>
          <w:rFonts w:cs="Arial"/>
        </w:rPr>
        <w:t xml:space="preserve"> </w:t>
      </w:r>
      <w:r w:rsidR="00A243A2" w:rsidRPr="003D3F7A">
        <w:rPr>
          <w:rFonts w:cs="Arial"/>
        </w:rPr>
        <w:t>to make the trends easier to understand</w:t>
      </w:r>
      <w:r w:rsidR="003C3D14" w:rsidRPr="003D3F7A">
        <w:rPr>
          <w:rFonts w:cs="Arial"/>
        </w:rPr>
        <w:t xml:space="preserve">.  </w:t>
      </w:r>
      <w:r w:rsidR="00A243A2" w:rsidRPr="003D3F7A">
        <w:rPr>
          <w:rFonts w:cs="Arial"/>
        </w:rPr>
        <w:t xml:space="preserve">Supporting data are attached above. </w:t>
      </w:r>
      <w:r w:rsidR="00FE2E2E" w:rsidRPr="003D3F7A">
        <w:rPr>
          <w:rFonts w:cs="Arial"/>
        </w:rPr>
        <w:t xml:space="preserve">The most important points appear in </w:t>
      </w:r>
      <w:r w:rsidR="00FE2E2E" w:rsidRPr="003D3F7A">
        <w:rPr>
          <w:rFonts w:cs="Arial"/>
          <w:b/>
          <w:bCs/>
        </w:rPr>
        <w:t xml:space="preserve">boldface </w:t>
      </w:r>
      <w:r w:rsidR="00FE2E2E" w:rsidRPr="003D3F7A">
        <w:rPr>
          <w:rFonts w:cs="Arial"/>
          <w:b/>
          <w:bCs/>
          <w:color w:val="7030A0"/>
        </w:rPr>
        <w:t>purple</w:t>
      </w:r>
      <w:r w:rsidR="00FE2E2E" w:rsidRPr="003D3F7A">
        <w:rPr>
          <w:rFonts w:cs="Arial"/>
        </w:rPr>
        <w:t xml:space="preserve">. </w:t>
      </w:r>
      <w:r w:rsidR="00C263C8" w:rsidRPr="003D3F7A">
        <w:rPr>
          <w:rFonts w:cs="Arial"/>
        </w:rPr>
        <w:t xml:space="preserve">The Social Security section isn’t highlighted in this manner, but it </w:t>
      </w:r>
      <w:r w:rsidR="00B64093" w:rsidRPr="003D3F7A">
        <w:rPr>
          <w:rFonts w:cs="Arial"/>
        </w:rPr>
        <w:t>should be read by those unfamiliar with the program.</w:t>
      </w:r>
    </w:p>
    <w:p w14:paraId="6B7951F9" w14:textId="77777777" w:rsidR="00C3431D" w:rsidRPr="003D3F7A" w:rsidRDefault="00C3431D">
      <w:pPr>
        <w:rPr>
          <w:rFonts w:cs="Arial"/>
        </w:rPr>
      </w:pPr>
    </w:p>
    <w:p w14:paraId="60AB023D" w14:textId="5A513A6E" w:rsidR="003815A9" w:rsidRPr="003D3F7A" w:rsidRDefault="0037443D">
      <w:pPr>
        <w:rPr>
          <w:rFonts w:cs="Arial"/>
        </w:rPr>
      </w:pPr>
      <w:r w:rsidRPr="003D3F7A">
        <w:rPr>
          <w:rFonts w:cs="Arial"/>
        </w:rPr>
        <w:t>T</w:t>
      </w:r>
      <w:r w:rsidR="003C3D14" w:rsidRPr="003D3F7A">
        <w:rPr>
          <w:rFonts w:cs="Arial"/>
        </w:rPr>
        <w:t xml:space="preserve">he existing </w:t>
      </w:r>
      <w:r w:rsidR="00ED6EAB" w:rsidRPr="003D3F7A">
        <w:rPr>
          <w:rFonts w:cs="Arial"/>
          <w:i/>
          <w:iCs/>
        </w:rPr>
        <w:t>Current Population Survey</w:t>
      </w:r>
      <w:r w:rsidR="00ED6EAB" w:rsidRPr="003D3F7A">
        <w:rPr>
          <w:rFonts w:cs="Arial"/>
        </w:rPr>
        <w:t xml:space="preserve"> </w:t>
      </w:r>
      <w:r w:rsidRPr="003D3F7A">
        <w:rPr>
          <w:rFonts w:cs="Arial"/>
        </w:rPr>
        <w:t xml:space="preserve">(CPS) </w:t>
      </w:r>
      <w:r w:rsidR="003C3D14" w:rsidRPr="003D3F7A">
        <w:rPr>
          <w:rFonts w:cs="Arial"/>
        </w:rPr>
        <w:t xml:space="preserve">data </w:t>
      </w:r>
      <w:r w:rsidR="00ED6EAB" w:rsidRPr="003D3F7A">
        <w:rPr>
          <w:rFonts w:cs="Arial"/>
        </w:rPr>
        <w:t xml:space="preserve">(the best source) for some age brackets </w:t>
      </w:r>
      <w:r w:rsidRPr="003D3F7A">
        <w:rPr>
          <w:rFonts w:cs="Arial"/>
        </w:rPr>
        <w:t>do not extend far enough back in time</w:t>
      </w:r>
      <w:r w:rsidR="008A073D" w:rsidRPr="003D3F7A">
        <w:rPr>
          <w:rFonts w:cs="Arial"/>
        </w:rPr>
        <w:t xml:space="preserve"> to be certain about long-term trends.  However, </w:t>
      </w:r>
      <w:r w:rsidR="00426318">
        <w:rPr>
          <w:rFonts w:cs="Arial"/>
        </w:rPr>
        <w:t xml:space="preserve">these data </w:t>
      </w:r>
      <w:r w:rsidR="008A073D" w:rsidRPr="003D3F7A">
        <w:rPr>
          <w:rFonts w:cs="Arial"/>
        </w:rPr>
        <w:t xml:space="preserve">can be supplemented using decennial census data, and I’ve taken advantage of </w:t>
      </w:r>
      <w:r w:rsidR="006F3815" w:rsidRPr="003D3F7A">
        <w:rPr>
          <w:rFonts w:cs="Arial"/>
        </w:rPr>
        <w:t>IPUMS</w:t>
      </w:r>
      <w:r w:rsidR="00AD2FF8" w:rsidRPr="003D3F7A">
        <w:rPr>
          <w:rFonts w:cs="Arial"/>
        </w:rPr>
        <w:t xml:space="preserve"> to examine </w:t>
      </w:r>
      <w:r w:rsidR="00760349" w:rsidRPr="003D3F7A">
        <w:rPr>
          <w:rFonts w:cs="Arial"/>
        </w:rPr>
        <w:t>employment trends from the mid-19</w:t>
      </w:r>
      <w:r w:rsidR="00760349" w:rsidRPr="003D3F7A">
        <w:rPr>
          <w:rFonts w:cs="Arial"/>
          <w:vertAlign w:val="superscript"/>
        </w:rPr>
        <w:t>th</w:t>
      </w:r>
      <w:r w:rsidR="00760349" w:rsidRPr="003D3F7A">
        <w:rPr>
          <w:rFonts w:cs="Arial"/>
        </w:rPr>
        <w:t xml:space="preserve"> century to the time when the CPS series begins.</w:t>
      </w:r>
      <w:r w:rsidR="00BE24FC" w:rsidRPr="003D3F7A">
        <w:rPr>
          <w:rStyle w:val="FootnoteReference"/>
          <w:rFonts w:cs="Arial"/>
        </w:rPr>
        <w:footnoteReference w:id="1"/>
      </w:r>
      <w:r w:rsidR="00760349" w:rsidRPr="003D3F7A">
        <w:rPr>
          <w:rFonts w:cs="Arial"/>
        </w:rPr>
        <w:t xml:space="preserve"> </w:t>
      </w:r>
    </w:p>
    <w:p w14:paraId="5C7C52A7" w14:textId="77777777" w:rsidR="003815A9" w:rsidRPr="003D3F7A" w:rsidRDefault="003815A9">
      <w:pPr>
        <w:rPr>
          <w:rFonts w:cs="Arial"/>
        </w:rPr>
      </w:pPr>
    </w:p>
    <w:p w14:paraId="534BF7C4" w14:textId="208A908C" w:rsidR="006C7892" w:rsidRDefault="00411679">
      <w:pPr>
        <w:rPr>
          <w:rFonts w:cs="Arial"/>
        </w:rPr>
      </w:pPr>
      <w:r w:rsidRPr="003D3F7A">
        <w:rPr>
          <w:rFonts w:cs="Arial"/>
          <w:b/>
          <w:bCs/>
          <w:color w:val="7030A0"/>
        </w:rPr>
        <w:t>Work trends among older individuals vary the most depending</w:t>
      </w:r>
      <w:r w:rsidR="00760349" w:rsidRPr="003D3F7A">
        <w:rPr>
          <w:rFonts w:cs="Arial"/>
          <w:b/>
          <w:bCs/>
          <w:color w:val="7030A0"/>
        </w:rPr>
        <w:t xml:space="preserve"> </w:t>
      </w:r>
      <w:r w:rsidRPr="003D3F7A">
        <w:rPr>
          <w:rFonts w:cs="Arial"/>
          <w:b/>
          <w:bCs/>
          <w:color w:val="7030A0"/>
        </w:rPr>
        <w:t xml:space="preserve">upon </w:t>
      </w:r>
      <w:r w:rsidR="00974232" w:rsidRPr="003D3F7A">
        <w:rPr>
          <w:rFonts w:cs="Arial"/>
          <w:b/>
          <w:bCs/>
          <w:color w:val="7030A0"/>
        </w:rPr>
        <w:t>age bracket and gender.</w:t>
      </w:r>
      <w:r w:rsidR="00974232" w:rsidRPr="003D3F7A">
        <w:rPr>
          <w:rFonts w:cs="Arial"/>
        </w:rPr>
        <w:t xml:space="preserve">  Therefore, to separate out </w:t>
      </w:r>
      <w:r w:rsidR="00AE1D9F" w:rsidRPr="003D3F7A">
        <w:rPr>
          <w:rFonts w:cs="Arial"/>
        </w:rPr>
        <w:t>the impact of these factors, I examined narrow 5-year age brackets (except for those 75 and older)</w:t>
      </w:r>
      <w:r w:rsidR="00747457" w:rsidRPr="003D3F7A">
        <w:rPr>
          <w:rFonts w:cs="Arial"/>
        </w:rPr>
        <w:t>, and the differences between women and men (which have narrowed considerably over time)</w:t>
      </w:r>
      <w:r w:rsidR="00A243A2" w:rsidRPr="003D3F7A">
        <w:rPr>
          <w:rFonts w:cs="Arial"/>
        </w:rPr>
        <w:t xml:space="preserve">.  </w:t>
      </w:r>
      <w:r w:rsidR="003F4A38" w:rsidRPr="003D3F7A">
        <w:rPr>
          <w:rFonts w:cs="Arial"/>
        </w:rPr>
        <w:t xml:space="preserve">Because I examined the detailed labor force and unemployment patterns not that long ago, </w:t>
      </w:r>
      <w:r w:rsidR="00810F7F" w:rsidRPr="003D3F7A">
        <w:rPr>
          <w:rFonts w:cs="Arial"/>
        </w:rPr>
        <w:t xml:space="preserve">and not enough time and change has occurred to </w:t>
      </w:r>
      <w:r w:rsidR="0011066D" w:rsidRPr="003D3F7A">
        <w:rPr>
          <w:rFonts w:cs="Arial"/>
        </w:rPr>
        <w:t>alter</w:t>
      </w:r>
      <w:r w:rsidR="00810F7F" w:rsidRPr="003D3F7A">
        <w:rPr>
          <w:rFonts w:cs="Arial"/>
        </w:rPr>
        <w:t xml:space="preserve"> </w:t>
      </w:r>
      <w:r w:rsidR="00822F1C" w:rsidRPr="003D3F7A">
        <w:rPr>
          <w:rFonts w:cs="Arial"/>
        </w:rPr>
        <w:t xml:space="preserve">conclusions about these topics, this narrative focuses exclusively on </w:t>
      </w:r>
      <w:r w:rsidR="00964679" w:rsidRPr="003D3F7A">
        <w:rPr>
          <w:rFonts w:cs="Arial"/>
        </w:rPr>
        <w:t>the employment-to-population ratio (referred to as the employment rate, for convenience)</w:t>
      </w:r>
      <w:r w:rsidR="00E21314" w:rsidRPr="003D3F7A">
        <w:rPr>
          <w:rFonts w:cs="Arial"/>
        </w:rPr>
        <w:t>.</w:t>
      </w:r>
      <w:r w:rsidR="00E21314" w:rsidRPr="003D3F7A">
        <w:rPr>
          <w:rStyle w:val="FootnoteReference"/>
          <w:rFonts w:cs="Arial"/>
        </w:rPr>
        <w:footnoteReference w:id="2"/>
      </w:r>
      <w:r w:rsidR="009E5B41" w:rsidRPr="003D3F7A">
        <w:rPr>
          <w:rFonts w:cs="Arial"/>
        </w:rPr>
        <w:t xml:space="preserve">  However, the attached spreadsheet above updates all the unemployment and labor force participation rate data through </w:t>
      </w:r>
      <w:r w:rsidR="008B0386" w:rsidRPr="003D3F7A">
        <w:rPr>
          <w:rFonts w:cs="Arial"/>
        </w:rPr>
        <w:t>2023</w:t>
      </w:r>
      <w:r w:rsidR="0011066D" w:rsidRPr="003D3F7A">
        <w:rPr>
          <w:rFonts w:cs="Arial"/>
        </w:rPr>
        <w:t xml:space="preserve">, and includes age groups not discussed below (such as </w:t>
      </w:r>
      <w:r w:rsidR="00594171" w:rsidRPr="003D3F7A">
        <w:rPr>
          <w:rFonts w:cs="Arial"/>
        </w:rPr>
        <w:t>all those 55 and older, and 65 and older)</w:t>
      </w:r>
      <w:r w:rsidR="008B0386" w:rsidRPr="003D3F7A">
        <w:rPr>
          <w:rFonts w:cs="Arial"/>
        </w:rPr>
        <w:t xml:space="preserve">. </w:t>
      </w:r>
    </w:p>
    <w:p w14:paraId="4C4C3330" w14:textId="77777777" w:rsidR="0085187E" w:rsidRDefault="0085187E">
      <w:pPr>
        <w:rPr>
          <w:rFonts w:cs="Arial"/>
        </w:rPr>
      </w:pPr>
    </w:p>
    <w:p w14:paraId="1B460ADA" w14:textId="7D5B17E6" w:rsidR="0085187E" w:rsidRDefault="0085187E" w:rsidP="00ED4850">
      <w:pPr>
        <w:pBdr>
          <w:top w:val="single" w:sz="12" w:space="1" w:color="FF0000"/>
          <w:left w:val="single" w:sz="12" w:space="4" w:color="FF0000"/>
          <w:bottom w:val="single" w:sz="12" w:space="1" w:color="FF0000"/>
          <w:right w:val="single" w:sz="12" w:space="4" w:color="FF0000"/>
        </w:pBdr>
        <w:rPr>
          <w:rFonts w:cs="Arial"/>
          <w:b/>
          <w:bCs/>
          <w:color w:val="7030A0"/>
        </w:rPr>
      </w:pPr>
      <w:r w:rsidRPr="00800E66">
        <w:rPr>
          <w:rFonts w:cs="Arial"/>
          <w:b/>
          <w:bCs/>
          <w:color w:val="FF0000"/>
        </w:rPr>
        <w:t>Summary</w:t>
      </w:r>
      <w:r>
        <w:rPr>
          <w:rFonts w:cs="Arial"/>
          <w:b/>
          <w:bCs/>
        </w:rPr>
        <w:t xml:space="preserve">.  </w:t>
      </w:r>
      <w:r w:rsidR="00414E76" w:rsidRPr="0006357B">
        <w:rPr>
          <w:rFonts w:cs="Arial"/>
          <w:b/>
          <w:bCs/>
          <w:color w:val="7030A0"/>
        </w:rPr>
        <w:t xml:space="preserve">Historical changes in </w:t>
      </w:r>
      <w:r w:rsidR="00BB2C8C" w:rsidRPr="0006357B">
        <w:rPr>
          <w:rFonts w:cs="Arial"/>
          <w:b/>
          <w:bCs/>
          <w:color w:val="7030A0"/>
        </w:rPr>
        <w:t xml:space="preserve">work behavior among older individuals have been as dramatic as the more widely </w:t>
      </w:r>
      <w:r w:rsidR="009C2212" w:rsidRPr="0006357B">
        <w:rPr>
          <w:rFonts w:cs="Arial"/>
          <w:b/>
          <w:bCs/>
          <w:color w:val="7030A0"/>
        </w:rPr>
        <w:t>known changes in paid work among women.  I</w:t>
      </w:r>
      <w:r w:rsidR="003F2DA8" w:rsidRPr="0006357B">
        <w:rPr>
          <w:rFonts w:cs="Arial"/>
          <w:b/>
          <w:bCs/>
          <w:color w:val="7030A0"/>
        </w:rPr>
        <w:t>n the mid-19</w:t>
      </w:r>
      <w:r w:rsidR="003F2DA8" w:rsidRPr="0006357B">
        <w:rPr>
          <w:rFonts w:cs="Arial"/>
          <w:b/>
          <w:bCs/>
          <w:color w:val="7030A0"/>
          <w:vertAlign w:val="superscript"/>
        </w:rPr>
        <w:t>th</w:t>
      </w:r>
      <w:r w:rsidR="003F2DA8" w:rsidRPr="0006357B">
        <w:rPr>
          <w:rFonts w:cs="Arial"/>
          <w:b/>
          <w:bCs/>
          <w:color w:val="7030A0"/>
        </w:rPr>
        <w:t xml:space="preserve"> century, about 70 percent of men older than 75 </w:t>
      </w:r>
      <w:r w:rsidR="00E1082E" w:rsidRPr="0006357B">
        <w:rPr>
          <w:rFonts w:cs="Arial"/>
          <w:b/>
          <w:bCs/>
          <w:color w:val="7030A0"/>
        </w:rPr>
        <w:t>worked.  By the 1990s th</w:t>
      </w:r>
      <w:r w:rsidR="00C84220" w:rsidRPr="0006357B">
        <w:rPr>
          <w:rFonts w:cs="Arial"/>
          <w:b/>
          <w:bCs/>
          <w:color w:val="7030A0"/>
        </w:rPr>
        <w:t xml:space="preserve">e rate was only about one-tenth of this, although it has subsequently risen to slightly more than </w:t>
      </w:r>
      <w:r w:rsidR="00453E82" w:rsidRPr="0006357B">
        <w:rPr>
          <w:rFonts w:cs="Arial"/>
          <w:b/>
          <w:bCs/>
          <w:color w:val="7030A0"/>
        </w:rPr>
        <w:t xml:space="preserve">10 percent.  </w:t>
      </w:r>
      <w:r w:rsidR="00733408" w:rsidRPr="0006357B">
        <w:rPr>
          <w:rFonts w:cs="Arial"/>
          <w:b/>
          <w:bCs/>
          <w:color w:val="7030A0"/>
        </w:rPr>
        <w:t xml:space="preserve">For the elderly, </w:t>
      </w:r>
      <w:r w:rsidR="000E093A" w:rsidRPr="0006357B">
        <w:rPr>
          <w:rFonts w:cs="Arial"/>
          <w:b/>
          <w:bCs/>
          <w:color w:val="7030A0"/>
        </w:rPr>
        <w:t xml:space="preserve">overall employment </w:t>
      </w:r>
      <w:r w:rsidR="00733408" w:rsidRPr="0006357B">
        <w:rPr>
          <w:rFonts w:cs="Arial"/>
          <w:b/>
          <w:bCs/>
          <w:color w:val="7030A0"/>
        </w:rPr>
        <w:t xml:space="preserve">rates </w:t>
      </w:r>
      <w:r w:rsidR="000E093A" w:rsidRPr="0006357B">
        <w:rPr>
          <w:rFonts w:cs="Arial"/>
          <w:b/>
          <w:bCs/>
          <w:color w:val="7030A0"/>
        </w:rPr>
        <w:t xml:space="preserve">(for both genders) fell from 1900 through the mid-1980s, then climbed until the </w:t>
      </w:r>
      <w:r w:rsidR="001B2354" w:rsidRPr="0006357B">
        <w:rPr>
          <w:rFonts w:cs="Arial"/>
          <w:b/>
          <w:bCs/>
          <w:color w:val="7030A0"/>
        </w:rPr>
        <w:t xml:space="preserve">2020 pandemic, where they have stalled, likely temporarily.  </w:t>
      </w:r>
      <w:r w:rsidR="00EE7A32" w:rsidRPr="0006357B">
        <w:rPr>
          <w:rFonts w:cs="Arial"/>
          <w:b/>
          <w:bCs/>
          <w:color w:val="7030A0"/>
        </w:rPr>
        <w:t>Some of the most important factors influencing work among older individuals a</w:t>
      </w:r>
      <w:r w:rsidR="003754E3" w:rsidRPr="0006357B">
        <w:rPr>
          <w:rFonts w:cs="Arial"/>
          <w:b/>
          <w:bCs/>
          <w:color w:val="7030A0"/>
        </w:rPr>
        <w:t xml:space="preserve">re as follows. </w:t>
      </w:r>
    </w:p>
    <w:p w14:paraId="15E73CC9" w14:textId="77777777" w:rsidR="008C3355" w:rsidRPr="008C3355" w:rsidRDefault="008C3355" w:rsidP="00ED4850">
      <w:pPr>
        <w:pBdr>
          <w:top w:val="single" w:sz="12" w:space="1" w:color="FF0000"/>
          <w:left w:val="single" w:sz="12" w:space="4" w:color="FF0000"/>
          <w:bottom w:val="single" w:sz="12" w:space="1" w:color="FF0000"/>
          <w:right w:val="single" w:sz="12" w:space="4" w:color="FF0000"/>
        </w:pBdr>
        <w:rPr>
          <w:rFonts w:cs="Arial"/>
          <w:b/>
          <w:bCs/>
          <w:color w:val="7030A0"/>
          <w:sz w:val="10"/>
          <w:szCs w:val="10"/>
        </w:rPr>
      </w:pPr>
    </w:p>
    <w:p w14:paraId="5B479D05" w14:textId="3B453C44" w:rsidR="003754E3" w:rsidRDefault="003754E3" w:rsidP="00ED4850">
      <w:pPr>
        <w:pBdr>
          <w:top w:val="single" w:sz="12" w:space="1" w:color="FF0000"/>
          <w:left w:val="single" w:sz="12" w:space="4" w:color="FF0000"/>
          <w:bottom w:val="single" w:sz="12" w:space="1" w:color="FF0000"/>
          <w:right w:val="single" w:sz="12" w:space="4" w:color="FF0000"/>
        </w:pBdr>
        <w:rPr>
          <w:rFonts w:cs="Arial"/>
          <w:b/>
          <w:bCs/>
          <w:color w:val="7030A0"/>
        </w:rPr>
      </w:pPr>
      <w:r w:rsidRPr="0006357B">
        <w:rPr>
          <w:rFonts w:cs="Arial"/>
          <w:b/>
          <w:bCs/>
          <w:color w:val="00B050"/>
        </w:rPr>
        <w:t>Rising affluence</w:t>
      </w:r>
      <w:r w:rsidRPr="0006357B">
        <w:rPr>
          <w:rFonts w:cs="Arial"/>
          <w:b/>
          <w:bCs/>
          <w:color w:val="7030A0"/>
        </w:rPr>
        <w:t xml:space="preserve"> reduced employment rates among older individuals for decades </w:t>
      </w:r>
      <w:r w:rsidR="00502BA5" w:rsidRPr="0006357B">
        <w:rPr>
          <w:rFonts w:cs="Arial"/>
          <w:b/>
          <w:bCs/>
          <w:color w:val="7030A0"/>
        </w:rPr>
        <w:t xml:space="preserve">before the first Social Security Old Age Insurance payments began </w:t>
      </w:r>
      <w:r w:rsidR="0092067A">
        <w:rPr>
          <w:rFonts w:cs="Arial"/>
          <w:b/>
          <w:bCs/>
          <w:color w:val="7030A0"/>
        </w:rPr>
        <w:t>in</w:t>
      </w:r>
      <w:r w:rsidR="00502BA5" w:rsidRPr="0006357B">
        <w:rPr>
          <w:rFonts w:cs="Arial"/>
          <w:b/>
          <w:bCs/>
          <w:color w:val="7030A0"/>
        </w:rPr>
        <w:t xml:space="preserve"> the 1940s</w:t>
      </w:r>
      <w:r w:rsidR="00D65E60" w:rsidRPr="0006357B">
        <w:rPr>
          <w:rFonts w:cs="Arial"/>
          <w:b/>
          <w:bCs/>
          <w:color w:val="7030A0"/>
        </w:rPr>
        <w:t xml:space="preserve">.  </w:t>
      </w:r>
    </w:p>
    <w:p w14:paraId="7E26349C" w14:textId="77777777" w:rsidR="0092067A" w:rsidRPr="0092067A" w:rsidRDefault="0092067A" w:rsidP="00ED4850">
      <w:pPr>
        <w:pBdr>
          <w:top w:val="single" w:sz="12" w:space="1" w:color="FF0000"/>
          <w:left w:val="single" w:sz="12" w:space="4" w:color="FF0000"/>
          <w:bottom w:val="single" w:sz="12" w:space="1" w:color="FF0000"/>
          <w:right w:val="single" w:sz="12" w:space="4" w:color="FF0000"/>
        </w:pBdr>
        <w:rPr>
          <w:rFonts w:cs="Arial"/>
          <w:b/>
          <w:bCs/>
          <w:color w:val="7030A0"/>
          <w:sz w:val="10"/>
          <w:szCs w:val="10"/>
        </w:rPr>
      </w:pPr>
    </w:p>
    <w:p w14:paraId="0BA801C3" w14:textId="4D121D53" w:rsidR="00D65E60" w:rsidRDefault="001810E5" w:rsidP="00ED4850">
      <w:pPr>
        <w:pBdr>
          <w:top w:val="single" w:sz="12" w:space="1" w:color="FF0000"/>
          <w:left w:val="single" w:sz="12" w:space="4" w:color="FF0000"/>
          <w:bottom w:val="single" w:sz="12" w:space="1" w:color="FF0000"/>
          <w:right w:val="single" w:sz="12" w:space="4" w:color="FF0000"/>
        </w:pBdr>
        <w:rPr>
          <w:rFonts w:cs="Arial"/>
          <w:b/>
          <w:bCs/>
          <w:color w:val="7030A0"/>
        </w:rPr>
      </w:pPr>
      <w:r w:rsidRPr="0006357B">
        <w:rPr>
          <w:rFonts w:cs="Arial"/>
          <w:b/>
          <w:bCs/>
          <w:color w:val="7030A0"/>
        </w:rPr>
        <w:t xml:space="preserve">The increasing number and </w:t>
      </w:r>
      <w:r w:rsidR="00E02D50" w:rsidRPr="0006357B">
        <w:rPr>
          <w:rFonts w:cs="Arial"/>
          <w:b/>
          <w:bCs/>
          <w:color w:val="7030A0"/>
        </w:rPr>
        <w:t>coverage</w:t>
      </w:r>
      <w:r w:rsidRPr="0006357B">
        <w:rPr>
          <w:rFonts w:cs="Arial"/>
          <w:b/>
          <w:bCs/>
          <w:color w:val="7030A0"/>
        </w:rPr>
        <w:t xml:space="preserve"> of a wide variety of programs under the </w:t>
      </w:r>
      <w:r w:rsidRPr="0006357B">
        <w:rPr>
          <w:rFonts w:cs="Arial"/>
          <w:b/>
          <w:bCs/>
          <w:color w:val="00B050"/>
        </w:rPr>
        <w:t>Social Security</w:t>
      </w:r>
      <w:r w:rsidRPr="0006357B">
        <w:rPr>
          <w:rFonts w:cs="Arial"/>
          <w:b/>
          <w:bCs/>
          <w:color w:val="7030A0"/>
        </w:rPr>
        <w:t xml:space="preserve"> system – including disability income support </w:t>
      </w:r>
      <w:r w:rsidR="00E02D50" w:rsidRPr="0006357B">
        <w:rPr>
          <w:rFonts w:cs="Arial"/>
          <w:b/>
          <w:bCs/>
          <w:color w:val="7030A0"/>
        </w:rPr>
        <w:t>–</w:t>
      </w:r>
      <w:r w:rsidRPr="0006357B">
        <w:rPr>
          <w:rFonts w:cs="Arial"/>
          <w:b/>
          <w:bCs/>
          <w:color w:val="7030A0"/>
        </w:rPr>
        <w:t xml:space="preserve"> </w:t>
      </w:r>
      <w:r w:rsidR="00E02D50" w:rsidRPr="0006357B">
        <w:rPr>
          <w:rFonts w:cs="Arial"/>
          <w:b/>
          <w:bCs/>
          <w:color w:val="7030A0"/>
        </w:rPr>
        <w:t xml:space="preserve">made retirement </w:t>
      </w:r>
      <w:r w:rsidR="00573533" w:rsidRPr="0006357B">
        <w:rPr>
          <w:rFonts w:cs="Arial"/>
          <w:b/>
          <w:bCs/>
          <w:color w:val="7030A0"/>
        </w:rPr>
        <w:t xml:space="preserve">more likely, and employment rates lower, for older individuals </w:t>
      </w:r>
      <w:r w:rsidR="00633BF8" w:rsidRPr="0006357B">
        <w:rPr>
          <w:rFonts w:cs="Arial"/>
          <w:b/>
          <w:bCs/>
          <w:color w:val="7030A0"/>
        </w:rPr>
        <w:t>through the 19</w:t>
      </w:r>
      <w:r w:rsidR="00460114">
        <w:rPr>
          <w:rFonts w:cs="Arial"/>
          <w:b/>
          <w:bCs/>
          <w:color w:val="7030A0"/>
        </w:rPr>
        <w:t>8</w:t>
      </w:r>
      <w:r w:rsidR="00633BF8" w:rsidRPr="0006357B">
        <w:rPr>
          <w:rFonts w:cs="Arial"/>
          <w:b/>
          <w:bCs/>
          <w:color w:val="7030A0"/>
        </w:rPr>
        <w:t xml:space="preserve">0s. </w:t>
      </w:r>
    </w:p>
    <w:p w14:paraId="0235C581" w14:textId="77777777" w:rsidR="008C3355" w:rsidRPr="008C3355" w:rsidRDefault="008C3355" w:rsidP="00ED4850">
      <w:pPr>
        <w:pBdr>
          <w:top w:val="single" w:sz="12" w:space="1" w:color="FF0000"/>
          <w:left w:val="single" w:sz="12" w:space="4" w:color="FF0000"/>
          <w:bottom w:val="single" w:sz="12" w:space="1" w:color="FF0000"/>
          <w:right w:val="single" w:sz="12" w:space="4" w:color="FF0000"/>
        </w:pBdr>
        <w:rPr>
          <w:rFonts w:cs="Arial"/>
          <w:b/>
          <w:bCs/>
          <w:color w:val="7030A0"/>
          <w:sz w:val="10"/>
          <w:szCs w:val="10"/>
        </w:rPr>
      </w:pPr>
    </w:p>
    <w:p w14:paraId="36A1900A" w14:textId="10D4693E" w:rsidR="00633BF8" w:rsidRDefault="00801AB9" w:rsidP="00ED4850">
      <w:pPr>
        <w:pBdr>
          <w:top w:val="single" w:sz="12" w:space="1" w:color="FF0000"/>
          <w:left w:val="single" w:sz="12" w:space="4" w:color="FF0000"/>
          <w:bottom w:val="single" w:sz="12" w:space="1" w:color="FF0000"/>
          <w:right w:val="single" w:sz="12" w:space="4" w:color="FF0000"/>
        </w:pBdr>
        <w:rPr>
          <w:rFonts w:cs="Arial"/>
          <w:b/>
          <w:bCs/>
          <w:color w:val="7030A0"/>
        </w:rPr>
      </w:pPr>
      <w:r w:rsidRPr="0006357B">
        <w:rPr>
          <w:rFonts w:cs="Arial"/>
          <w:b/>
          <w:bCs/>
          <w:color w:val="7030A0"/>
        </w:rPr>
        <w:t xml:space="preserve">The 1983 enactment of an </w:t>
      </w:r>
      <w:r w:rsidRPr="00800E66">
        <w:rPr>
          <w:rFonts w:cs="Arial"/>
          <w:b/>
          <w:bCs/>
          <w:color w:val="00B050"/>
        </w:rPr>
        <w:t xml:space="preserve">increase in the age of full Social Security retirement benefits </w:t>
      </w:r>
      <w:r w:rsidR="00EE1C5E" w:rsidRPr="00800E66">
        <w:rPr>
          <w:rFonts w:cs="Arial"/>
          <w:b/>
          <w:bCs/>
          <w:color w:val="00B050"/>
        </w:rPr>
        <w:t>from 65 to 67</w:t>
      </w:r>
      <w:r w:rsidR="00EE1C5E" w:rsidRPr="0006357B">
        <w:rPr>
          <w:rFonts w:cs="Arial"/>
          <w:b/>
          <w:bCs/>
          <w:color w:val="7030A0"/>
        </w:rPr>
        <w:t xml:space="preserve"> had an almost immediate impact on employment rates among the elderly, although </w:t>
      </w:r>
      <w:r w:rsidR="00B8353C" w:rsidRPr="0006357B">
        <w:rPr>
          <w:rFonts w:cs="Arial"/>
          <w:b/>
          <w:bCs/>
          <w:color w:val="7030A0"/>
        </w:rPr>
        <w:t>this increase did not even begin to be implemented until 2003, and won’t be completed until 2027</w:t>
      </w:r>
      <w:r w:rsidR="00263E35" w:rsidRPr="0006357B">
        <w:rPr>
          <w:rFonts w:cs="Arial"/>
          <w:b/>
          <w:bCs/>
          <w:color w:val="7030A0"/>
        </w:rPr>
        <w:t xml:space="preserve">.  By the mid-1980s, employment rates began to rise among all </w:t>
      </w:r>
      <w:r w:rsidR="000C7599" w:rsidRPr="0006357B">
        <w:rPr>
          <w:rFonts w:cs="Arial"/>
          <w:b/>
          <w:bCs/>
          <w:color w:val="7030A0"/>
        </w:rPr>
        <w:t xml:space="preserve">subgroups of individuals aged 55 and older.  This was </w:t>
      </w:r>
      <w:r w:rsidR="009C2D1F" w:rsidRPr="0006357B">
        <w:rPr>
          <w:rFonts w:cs="Arial"/>
          <w:b/>
          <w:bCs/>
          <w:color w:val="7030A0"/>
        </w:rPr>
        <w:t xml:space="preserve">the first major reduction in the Social Security system, after decades of expansion and liberalization. </w:t>
      </w:r>
    </w:p>
    <w:p w14:paraId="38A90D3B" w14:textId="77777777" w:rsidR="008C3355" w:rsidRPr="008C3355" w:rsidRDefault="008C3355" w:rsidP="00ED4850">
      <w:pPr>
        <w:pBdr>
          <w:top w:val="single" w:sz="12" w:space="1" w:color="FF0000"/>
          <w:left w:val="single" w:sz="12" w:space="4" w:color="FF0000"/>
          <w:bottom w:val="single" w:sz="12" w:space="1" w:color="FF0000"/>
          <w:right w:val="single" w:sz="12" w:space="4" w:color="FF0000"/>
        </w:pBdr>
        <w:rPr>
          <w:rFonts w:cs="Arial"/>
          <w:b/>
          <w:bCs/>
          <w:color w:val="7030A0"/>
          <w:sz w:val="10"/>
          <w:szCs w:val="10"/>
        </w:rPr>
      </w:pPr>
    </w:p>
    <w:p w14:paraId="1679781F" w14:textId="27554B03" w:rsidR="009C2D1F" w:rsidRDefault="00B62E9A" w:rsidP="00ED4850">
      <w:pPr>
        <w:pBdr>
          <w:top w:val="single" w:sz="12" w:space="1" w:color="FF0000"/>
          <w:left w:val="single" w:sz="12" w:space="4" w:color="FF0000"/>
          <w:bottom w:val="single" w:sz="12" w:space="1" w:color="FF0000"/>
          <w:right w:val="single" w:sz="12" w:space="4" w:color="FF0000"/>
        </w:pBdr>
        <w:rPr>
          <w:rFonts w:cs="Arial"/>
          <w:b/>
          <w:bCs/>
          <w:color w:val="7030A0"/>
        </w:rPr>
      </w:pPr>
      <w:r w:rsidRPr="0006357B">
        <w:rPr>
          <w:rFonts w:cs="Arial"/>
          <w:b/>
          <w:bCs/>
          <w:color w:val="7030A0"/>
        </w:rPr>
        <w:t xml:space="preserve">Improvements in public health measures and medical care lengthened </w:t>
      </w:r>
      <w:r w:rsidR="00513606" w:rsidRPr="0006357B">
        <w:rPr>
          <w:rFonts w:cs="Arial"/>
          <w:b/>
          <w:bCs/>
          <w:color w:val="7030A0"/>
        </w:rPr>
        <w:t xml:space="preserve">U.S. </w:t>
      </w:r>
      <w:r w:rsidRPr="00800E66">
        <w:rPr>
          <w:rFonts w:cs="Arial"/>
          <w:b/>
          <w:bCs/>
          <w:color w:val="00B050"/>
        </w:rPr>
        <w:t xml:space="preserve">life expectancy </w:t>
      </w:r>
      <w:r w:rsidR="00513606" w:rsidRPr="0006357B">
        <w:rPr>
          <w:rFonts w:cs="Arial"/>
          <w:b/>
          <w:bCs/>
          <w:color w:val="7030A0"/>
        </w:rPr>
        <w:t xml:space="preserve">for at least a century and a half, which almost certainly meant that older individuals were in better health and </w:t>
      </w:r>
      <w:r w:rsidR="003F7D04" w:rsidRPr="0006357B">
        <w:rPr>
          <w:rFonts w:cs="Arial"/>
          <w:b/>
          <w:bCs/>
          <w:color w:val="7030A0"/>
        </w:rPr>
        <w:t xml:space="preserve">therefore better able to work at older ages than their predecessors.  </w:t>
      </w:r>
      <w:r w:rsidR="00897051" w:rsidRPr="0006357B">
        <w:rPr>
          <w:rFonts w:cs="Arial"/>
          <w:b/>
          <w:bCs/>
          <w:color w:val="7030A0"/>
        </w:rPr>
        <w:t xml:space="preserve">More recent data on </w:t>
      </w:r>
      <w:r w:rsidR="00897051" w:rsidRPr="00800E66">
        <w:rPr>
          <w:rFonts w:cs="Arial"/>
          <w:b/>
          <w:bCs/>
          <w:color w:val="00B050"/>
        </w:rPr>
        <w:t xml:space="preserve">disability </w:t>
      </w:r>
      <w:r w:rsidR="00897051" w:rsidRPr="0006357B">
        <w:rPr>
          <w:rFonts w:cs="Arial"/>
          <w:b/>
          <w:bCs/>
          <w:color w:val="7030A0"/>
        </w:rPr>
        <w:t xml:space="preserve">rates indicate a general decline in </w:t>
      </w:r>
      <w:r w:rsidR="00A81A59" w:rsidRPr="0006357B">
        <w:rPr>
          <w:rFonts w:cs="Arial"/>
          <w:b/>
          <w:bCs/>
          <w:color w:val="7030A0"/>
        </w:rPr>
        <w:t xml:space="preserve">disability among older individuals until the pandemic. </w:t>
      </w:r>
      <w:r w:rsidR="0023596C" w:rsidRPr="0006357B">
        <w:rPr>
          <w:rFonts w:cs="Arial"/>
          <w:b/>
          <w:bCs/>
          <w:color w:val="7030A0"/>
        </w:rPr>
        <w:t xml:space="preserve">However, even a decade before the pandemic began, U.S. life expectancy </w:t>
      </w:r>
      <w:r w:rsidR="007C65D7" w:rsidRPr="0006357B">
        <w:rPr>
          <w:rFonts w:cs="Arial"/>
          <w:b/>
          <w:bCs/>
          <w:color w:val="7030A0"/>
        </w:rPr>
        <w:t xml:space="preserve">had basically plateaued.  </w:t>
      </w:r>
    </w:p>
    <w:p w14:paraId="66B6C53E" w14:textId="77777777" w:rsidR="008C3355" w:rsidRPr="008C3355" w:rsidRDefault="008C3355" w:rsidP="00ED4850">
      <w:pPr>
        <w:pBdr>
          <w:top w:val="single" w:sz="12" w:space="1" w:color="FF0000"/>
          <w:left w:val="single" w:sz="12" w:space="4" w:color="FF0000"/>
          <w:bottom w:val="single" w:sz="12" w:space="1" w:color="FF0000"/>
          <w:right w:val="single" w:sz="12" w:space="4" w:color="FF0000"/>
        </w:pBdr>
        <w:rPr>
          <w:rFonts w:cs="Arial"/>
          <w:b/>
          <w:bCs/>
          <w:color w:val="7030A0"/>
          <w:sz w:val="10"/>
          <w:szCs w:val="10"/>
        </w:rPr>
      </w:pPr>
    </w:p>
    <w:p w14:paraId="0D72C8F3" w14:textId="5A7ECBA7" w:rsidR="00C66219" w:rsidRPr="0006357B" w:rsidRDefault="00C66219" w:rsidP="00ED4850">
      <w:pPr>
        <w:pBdr>
          <w:top w:val="single" w:sz="12" w:space="1" w:color="FF0000"/>
          <w:left w:val="single" w:sz="12" w:space="4" w:color="FF0000"/>
          <w:bottom w:val="single" w:sz="12" w:space="1" w:color="FF0000"/>
          <w:right w:val="single" w:sz="12" w:space="4" w:color="FF0000"/>
        </w:pBdr>
        <w:rPr>
          <w:rFonts w:cs="Arial"/>
          <w:b/>
          <w:bCs/>
          <w:color w:val="7030A0"/>
        </w:rPr>
      </w:pPr>
      <w:r w:rsidRPr="0006357B">
        <w:rPr>
          <w:rFonts w:cs="Arial"/>
          <w:b/>
          <w:bCs/>
          <w:color w:val="7030A0"/>
        </w:rPr>
        <w:t xml:space="preserve">Within an </w:t>
      </w:r>
      <w:r w:rsidRPr="00800E66">
        <w:rPr>
          <w:rFonts w:cs="Arial"/>
          <w:b/>
          <w:bCs/>
          <w:color w:val="00B050"/>
        </w:rPr>
        <w:t xml:space="preserve">international </w:t>
      </w:r>
      <w:r w:rsidR="007C65D7" w:rsidRPr="00800E66">
        <w:rPr>
          <w:rFonts w:cs="Arial"/>
          <w:b/>
          <w:bCs/>
          <w:color w:val="00B050"/>
        </w:rPr>
        <w:t>context</w:t>
      </w:r>
      <w:r w:rsidR="007C65D7" w:rsidRPr="0006357B">
        <w:rPr>
          <w:rFonts w:cs="Arial"/>
          <w:b/>
          <w:bCs/>
          <w:color w:val="7030A0"/>
        </w:rPr>
        <w:t xml:space="preserve">, </w:t>
      </w:r>
      <w:r w:rsidR="00A77E49" w:rsidRPr="0006357B">
        <w:rPr>
          <w:rFonts w:cs="Arial"/>
          <w:b/>
          <w:bCs/>
          <w:color w:val="7030A0"/>
        </w:rPr>
        <w:t xml:space="preserve">employment rates among older individuals </w:t>
      </w:r>
      <w:r w:rsidR="0046796B" w:rsidRPr="0006357B">
        <w:rPr>
          <w:rFonts w:cs="Arial"/>
          <w:b/>
          <w:bCs/>
          <w:color w:val="7030A0"/>
        </w:rPr>
        <w:t xml:space="preserve">have been increasing since </w:t>
      </w:r>
      <w:r w:rsidR="00F24F1F" w:rsidRPr="0006357B">
        <w:rPr>
          <w:rFonts w:cs="Arial"/>
          <w:b/>
          <w:bCs/>
          <w:color w:val="7030A0"/>
        </w:rPr>
        <w:t>about 2000</w:t>
      </w:r>
      <w:r w:rsidR="00901D8B" w:rsidRPr="0006357B">
        <w:rPr>
          <w:rFonts w:cs="Arial"/>
          <w:b/>
          <w:bCs/>
          <w:color w:val="7030A0"/>
        </w:rPr>
        <w:t xml:space="preserve">, especially among 55 to 69 year-olds. </w:t>
      </w:r>
      <w:r w:rsidR="0027352C" w:rsidRPr="0006357B">
        <w:rPr>
          <w:rFonts w:cs="Arial"/>
          <w:b/>
          <w:bCs/>
          <w:color w:val="7030A0"/>
        </w:rPr>
        <w:t xml:space="preserve"> Some of these countries have also raised their social </w:t>
      </w:r>
      <w:r w:rsidR="0027352C" w:rsidRPr="0006357B">
        <w:rPr>
          <w:rFonts w:cs="Arial"/>
          <w:b/>
          <w:bCs/>
          <w:color w:val="7030A0"/>
        </w:rPr>
        <w:lastRenderedPageBreak/>
        <w:t xml:space="preserve">security retirement </w:t>
      </w:r>
      <w:r w:rsidR="006B7396" w:rsidRPr="0006357B">
        <w:rPr>
          <w:rFonts w:cs="Arial"/>
          <w:b/>
          <w:bCs/>
          <w:color w:val="7030A0"/>
        </w:rPr>
        <w:t xml:space="preserve">age, but the median age for comparable countries is 65, two years less than the U.S. </w:t>
      </w:r>
      <w:r w:rsidR="00144F8E" w:rsidRPr="0006357B">
        <w:rPr>
          <w:rFonts w:cs="Arial"/>
          <w:b/>
          <w:bCs/>
          <w:color w:val="7030A0"/>
        </w:rPr>
        <w:t xml:space="preserve">level.  In fact, employment rates in many other countries for 55 to 64 year-olds now exceed </w:t>
      </w:r>
      <w:r w:rsidR="00817F5C" w:rsidRPr="0006357B">
        <w:rPr>
          <w:rFonts w:cs="Arial"/>
          <w:b/>
          <w:bCs/>
          <w:color w:val="7030A0"/>
        </w:rPr>
        <w:t xml:space="preserve">U.S. levels.  Therefore the U.S. increase in the Social Security normal retirement age cannot </w:t>
      </w:r>
      <w:r w:rsidR="00D57486" w:rsidRPr="0006357B">
        <w:rPr>
          <w:rFonts w:cs="Arial"/>
          <w:b/>
          <w:bCs/>
          <w:color w:val="7030A0"/>
        </w:rPr>
        <w:t xml:space="preserve">fully explain increased employment among older individuals.  </w:t>
      </w:r>
      <w:r w:rsidR="0038113C" w:rsidRPr="0006357B">
        <w:rPr>
          <w:rFonts w:cs="Arial"/>
          <w:b/>
          <w:bCs/>
          <w:color w:val="7030A0"/>
        </w:rPr>
        <w:t xml:space="preserve">Average U.S. life expectancy is below the levels of </w:t>
      </w:r>
      <w:r w:rsidR="00C74299" w:rsidRPr="0006357B">
        <w:rPr>
          <w:rFonts w:cs="Arial"/>
          <w:b/>
          <w:bCs/>
          <w:color w:val="7030A0"/>
        </w:rPr>
        <w:t xml:space="preserve">dozens of countries, and the U.S. disadvantage widened as a result of the pandemic.  Despite this, U.S. </w:t>
      </w:r>
      <w:r w:rsidR="00DC3885" w:rsidRPr="0006357B">
        <w:rPr>
          <w:rFonts w:cs="Arial"/>
          <w:b/>
          <w:bCs/>
          <w:color w:val="7030A0"/>
        </w:rPr>
        <w:t xml:space="preserve">employment levels for the elderly are among the highest among advanced </w:t>
      </w:r>
      <w:r w:rsidR="00AB526C" w:rsidRPr="0006357B">
        <w:rPr>
          <w:rFonts w:cs="Arial"/>
          <w:b/>
          <w:bCs/>
          <w:color w:val="7030A0"/>
        </w:rPr>
        <w:t>economies, only exceeded by Japan and Korea</w:t>
      </w:r>
      <w:r w:rsidR="00A44ECE" w:rsidRPr="0006357B">
        <w:rPr>
          <w:rFonts w:cs="Arial"/>
          <w:b/>
          <w:bCs/>
          <w:color w:val="7030A0"/>
        </w:rPr>
        <w:t xml:space="preserve">, and the relative U.S. position rises </w:t>
      </w:r>
      <w:r w:rsidR="00256FB4">
        <w:rPr>
          <w:rFonts w:cs="Arial"/>
          <w:b/>
          <w:bCs/>
          <w:color w:val="7030A0"/>
        </w:rPr>
        <w:t>in the older</w:t>
      </w:r>
      <w:r w:rsidR="00A44ECE" w:rsidRPr="0006357B">
        <w:rPr>
          <w:rFonts w:cs="Arial"/>
          <w:b/>
          <w:bCs/>
          <w:color w:val="7030A0"/>
        </w:rPr>
        <w:t xml:space="preserve"> age bracke</w:t>
      </w:r>
      <w:r w:rsidR="00256FB4">
        <w:rPr>
          <w:rFonts w:cs="Arial"/>
          <w:b/>
          <w:bCs/>
          <w:color w:val="7030A0"/>
        </w:rPr>
        <w:t>ts</w:t>
      </w:r>
      <w:r w:rsidR="00A44ECE" w:rsidRPr="0006357B">
        <w:rPr>
          <w:rFonts w:cs="Arial"/>
          <w:b/>
          <w:bCs/>
          <w:color w:val="7030A0"/>
        </w:rPr>
        <w:t xml:space="preserve">.  </w:t>
      </w:r>
    </w:p>
    <w:p w14:paraId="26A1FA30" w14:textId="77777777" w:rsidR="00EA2937" w:rsidRPr="00EA2937" w:rsidRDefault="00EA2937" w:rsidP="00ED4850">
      <w:pPr>
        <w:pBdr>
          <w:top w:val="single" w:sz="12" w:space="1" w:color="FF0000"/>
          <w:left w:val="single" w:sz="12" w:space="4" w:color="FF0000"/>
          <w:bottom w:val="single" w:sz="12" w:space="1" w:color="FF0000"/>
          <w:right w:val="single" w:sz="12" w:space="4" w:color="FF0000"/>
        </w:pBdr>
        <w:rPr>
          <w:rFonts w:cs="Arial"/>
          <w:b/>
          <w:bCs/>
          <w:color w:val="7030A0"/>
          <w:sz w:val="10"/>
          <w:szCs w:val="10"/>
        </w:rPr>
      </w:pPr>
    </w:p>
    <w:p w14:paraId="17AB2B43" w14:textId="46D2A848" w:rsidR="00C45C57" w:rsidRDefault="00700909" w:rsidP="00ED4850">
      <w:pPr>
        <w:pBdr>
          <w:top w:val="single" w:sz="12" w:space="1" w:color="FF0000"/>
          <w:left w:val="single" w:sz="12" w:space="4" w:color="FF0000"/>
          <w:bottom w:val="single" w:sz="12" w:space="1" w:color="FF0000"/>
          <w:right w:val="single" w:sz="12" w:space="4" w:color="FF0000"/>
        </w:pBdr>
        <w:rPr>
          <w:rFonts w:cs="Arial"/>
          <w:b/>
          <w:bCs/>
          <w:color w:val="7030A0"/>
        </w:rPr>
      </w:pPr>
      <w:r w:rsidRPr="0006357B">
        <w:rPr>
          <w:rFonts w:cs="Arial"/>
          <w:b/>
          <w:bCs/>
          <w:color w:val="7030A0"/>
        </w:rPr>
        <w:t xml:space="preserve">The </w:t>
      </w:r>
      <w:r w:rsidR="00800E66" w:rsidRPr="00800E66">
        <w:rPr>
          <w:rFonts w:cs="Arial"/>
          <w:b/>
          <w:bCs/>
          <w:color w:val="00B050"/>
        </w:rPr>
        <w:t xml:space="preserve">coronavirus </w:t>
      </w:r>
      <w:r w:rsidRPr="00800E66">
        <w:rPr>
          <w:rFonts w:cs="Arial"/>
          <w:b/>
          <w:bCs/>
          <w:color w:val="00B050"/>
        </w:rPr>
        <w:t>pandemic</w:t>
      </w:r>
      <w:r w:rsidRPr="0006357B">
        <w:rPr>
          <w:rFonts w:cs="Arial"/>
          <w:b/>
          <w:bCs/>
          <w:color w:val="7030A0"/>
        </w:rPr>
        <w:t xml:space="preserve"> in the U.S. </w:t>
      </w:r>
      <w:r w:rsidR="004444B8">
        <w:rPr>
          <w:rFonts w:cs="Arial"/>
          <w:b/>
          <w:bCs/>
          <w:color w:val="7030A0"/>
        </w:rPr>
        <w:t xml:space="preserve">has </w:t>
      </w:r>
      <w:r w:rsidRPr="0006357B">
        <w:rPr>
          <w:rFonts w:cs="Arial"/>
          <w:b/>
          <w:bCs/>
          <w:color w:val="7030A0"/>
        </w:rPr>
        <w:t xml:space="preserve">had the </w:t>
      </w:r>
      <w:r w:rsidR="00266D56" w:rsidRPr="0006357B">
        <w:rPr>
          <w:rFonts w:cs="Arial"/>
          <w:b/>
          <w:bCs/>
          <w:color w:val="7030A0"/>
        </w:rPr>
        <w:t xml:space="preserve">greatest impact in lowering employment rates among the elderly, as rates for </w:t>
      </w:r>
      <w:r w:rsidR="00A107B4" w:rsidRPr="0006357B">
        <w:rPr>
          <w:rFonts w:cs="Arial"/>
          <w:b/>
          <w:bCs/>
          <w:color w:val="7030A0"/>
        </w:rPr>
        <w:t xml:space="preserve">individuals aged 55 to 64 had by 2023 reached historic peaks </w:t>
      </w:r>
      <w:r w:rsidR="00B94019" w:rsidRPr="0006357B">
        <w:rPr>
          <w:rFonts w:cs="Arial"/>
          <w:b/>
          <w:bCs/>
          <w:color w:val="7030A0"/>
        </w:rPr>
        <w:t xml:space="preserve">in the post-World War II period.  </w:t>
      </w:r>
      <w:r w:rsidR="006F2D27" w:rsidRPr="0006357B">
        <w:rPr>
          <w:rFonts w:cs="Arial"/>
          <w:b/>
          <w:bCs/>
          <w:color w:val="7030A0"/>
        </w:rPr>
        <w:t xml:space="preserve">For older individuals, among women </w:t>
      </w:r>
      <w:r w:rsidR="000B78DF">
        <w:rPr>
          <w:rFonts w:cs="Arial"/>
          <w:b/>
          <w:bCs/>
          <w:color w:val="7030A0"/>
        </w:rPr>
        <w:t xml:space="preserve">except those 75 and older </w:t>
      </w:r>
      <w:r w:rsidR="006F2D27" w:rsidRPr="0006357B">
        <w:rPr>
          <w:rFonts w:cs="Arial"/>
          <w:b/>
          <w:bCs/>
          <w:color w:val="7030A0"/>
        </w:rPr>
        <w:t xml:space="preserve">the pandemic diminution </w:t>
      </w:r>
      <w:r w:rsidR="00C572C5" w:rsidRPr="0006357B">
        <w:rPr>
          <w:rFonts w:cs="Arial"/>
          <w:b/>
          <w:bCs/>
          <w:color w:val="7030A0"/>
        </w:rPr>
        <w:t>of employment is clearly a passing phase</w:t>
      </w:r>
      <w:r w:rsidR="00F132DF" w:rsidRPr="0006357B">
        <w:rPr>
          <w:rFonts w:cs="Arial"/>
          <w:b/>
          <w:bCs/>
          <w:color w:val="7030A0"/>
        </w:rPr>
        <w:t xml:space="preserve">, although elderly men’s </w:t>
      </w:r>
      <w:r w:rsidR="006D24C8" w:rsidRPr="0006357B">
        <w:rPr>
          <w:rFonts w:cs="Arial"/>
          <w:b/>
          <w:bCs/>
          <w:color w:val="7030A0"/>
        </w:rPr>
        <w:t xml:space="preserve">employment rates remain stalled.  The pandemic impact for both men and women is clearest for those 75 and older, </w:t>
      </w:r>
      <w:r w:rsidR="00EC1FCA" w:rsidRPr="0006357B">
        <w:rPr>
          <w:rFonts w:cs="Arial"/>
          <w:b/>
          <w:bCs/>
          <w:color w:val="7030A0"/>
        </w:rPr>
        <w:t xml:space="preserve">despite disability rates not continuing to increase for this age bracket </w:t>
      </w:r>
      <w:r w:rsidR="007D3E4E">
        <w:rPr>
          <w:rFonts w:cs="Arial"/>
          <w:b/>
          <w:bCs/>
          <w:color w:val="7030A0"/>
        </w:rPr>
        <w:t>in</w:t>
      </w:r>
      <w:r w:rsidR="00EC1FCA" w:rsidRPr="0006357B">
        <w:rPr>
          <w:rFonts w:cs="Arial"/>
          <w:b/>
          <w:bCs/>
          <w:color w:val="7030A0"/>
        </w:rPr>
        <w:t xml:space="preserve"> </w:t>
      </w:r>
      <w:r w:rsidR="00025E87" w:rsidRPr="0006357B">
        <w:rPr>
          <w:rFonts w:cs="Arial"/>
          <w:b/>
          <w:bCs/>
          <w:color w:val="7030A0"/>
        </w:rPr>
        <w:t xml:space="preserve">2023.  The U.S. </w:t>
      </w:r>
      <w:r w:rsidR="00927485" w:rsidRPr="0006357B">
        <w:rPr>
          <w:rFonts w:cs="Arial"/>
          <w:b/>
          <w:bCs/>
          <w:color w:val="7030A0"/>
        </w:rPr>
        <w:t xml:space="preserve">is </w:t>
      </w:r>
      <w:r w:rsidR="000E34F0">
        <w:rPr>
          <w:rFonts w:cs="Arial"/>
          <w:b/>
          <w:bCs/>
          <w:color w:val="7030A0"/>
        </w:rPr>
        <w:t>unusual</w:t>
      </w:r>
      <w:r w:rsidR="00927485" w:rsidRPr="0006357B">
        <w:rPr>
          <w:rFonts w:cs="Arial"/>
          <w:b/>
          <w:bCs/>
          <w:color w:val="7030A0"/>
        </w:rPr>
        <w:t xml:space="preserve"> among advanced economies in the pandemic </w:t>
      </w:r>
      <w:r w:rsidR="003040FC" w:rsidRPr="0006357B">
        <w:rPr>
          <w:rFonts w:cs="Arial"/>
          <w:b/>
          <w:bCs/>
          <w:color w:val="7030A0"/>
        </w:rPr>
        <w:t>reducing</w:t>
      </w:r>
      <w:r w:rsidR="00927485" w:rsidRPr="0006357B">
        <w:rPr>
          <w:rFonts w:cs="Arial"/>
          <w:b/>
          <w:bCs/>
          <w:color w:val="7030A0"/>
        </w:rPr>
        <w:t xml:space="preserve"> employment rates</w:t>
      </w:r>
      <w:r w:rsidR="00BB1EC3" w:rsidRPr="0006357B">
        <w:rPr>
          <w:rFonts w:cs="Arial"/>
          <w:b/>
          <w:bCs/>
          <w:color w:val="7030A0"/>
        </w:rPr>
        <w:t xml:space="preserve"> for the elderly, almost certainly because ineffective U.S. public health and vaccination </w:t>
      </w:r>
      <w:r w:rsidR="00F10296" w:rsidRPr="0006357B">
        <w:rPr>
          <w:rFonts w:cs="Arial"/>
          <w:b/>
          <w:bCs/>
          <w:color w:val="7030A0"/>
        </w:rPr>
        <w:t xml:space="preserve">pandemic strategies have made employment for the elderly much </w:t>
      </w:r>
      <w:r w:rsidR="00BE0597" w:rsidRPr="0006357B">
        <w:rPr>
          <w:rFonts w:cs="Arial"/>
          <w:b/>
          <w:bCs/>
          <w:color w:val="7030A0"/>
        </w:rPr>
        <w:t>riskier</w:t>
      </w:r>
      <w:r w:rsidR="00F10296" w:rsidRPr="0006357B">
        <w:rPr>
          <w:rFonts w:cs="Arial"/>
          <w:b/>
          <w:bCs/>
          <w:color w:val="7030A0"/>
        </w:rPr>
        <w:t xml:space="preserve"> in America than in </w:t>
      </w:r>
      <w:r w:rsidR="003040FC" w:rsidRPr="0006357B">
        <w:rPr>
          <w:rFonts w:cs="Arial"/>
          <w:b/>
          <w:bCs/>
          <w:color w:val="7030A0"/>
        </w:rPr>
        <w:t xml:space="preserve">otherwise comparable nations.  </w:t>
      </w:r>
    </w:p>
    <w:p w14:paraId="39456341" w14:textId="77777777" w:rsidR="00EA2937" w:rsidRPr="00EA2937" w:rsidRDefault="00EA2937" w:rsidP="00ED4850">
      <w:pPr>
        <w:pBdr>
          <w:top w:val="single" w:sz="12" w:space="1" w:color="FF0000"/>
          <w:left w:val="single" w:sz="12" w:space="4" w:color="FF0000"/>
          <w:bottom w:val="single" w:sz="12" w:space="1" w:color="FF0000"/>
          <w:right w:val="single" w:sz="12" w:space="4" w:color="FF0000"/>
        </w:pBdr>
        <w:rPr>
          <w:rFonts w:cs="Arial"/>
          <w:b/>
          <w:bCs/>
          <w:color w:val="7030A0"/>
          <w:sz w:val="10"/>
          <w:szCs w:val="10"/>
        </w:rPr>
      </w:pPr>
    </w:p>
    <w:p w14:paraId="39C243C4" w14:textId="2E1A2DDF" w:rsidR="0084091E" w:rsidRDefault="00922497" w:rsidP="00ED4850">
      <w:pPr>
        <w:pBdr>
          <w:top w:val="single" w:sz="12" w:space="1" w:color="FF0000"/>
          <w:left w:val="single" w:sz="12" w:space="4" w:color="FF0000"/>
          <w:bottom w:val="single" w:sz="12" w:space="1" w:color="FF0000"/>
          <w:right w:val="single" w:sz="12" w:space="4" w:color="FF0000"/>
        </w:pBdr>
        <w:rPr>
          <w:rFonts w:cs="Arial"/>
          <w:b/>
          <w:bCs/>
          <w:color w:val="7030A0"/>
        </w:rPr>
      </w:pPr>
      <w:r w:rsidRPr="0006357B">
        <w:rPr>
          <w:rFonts w:cs="Arial"/>
          <w:b/>
          <w:bCs/>
          <w:color w:val="7030A0"/>
        </w:rPr>
        <w:t xml:space="preserve">Throughout history </w:t>
      </w:r>
      <w:r w:rsidRPr="00800E66">
        <w:rPr>
          <w:rFonts w:cs="Arial"/>
          <w:b/>
          <w:bCs/>
          <w:color w:val="00B050"/>
        </w:rPr>
        <w:t xml:space="preserve">women </w:t>
      </w:r>
      <w:r w:rsidRPr="0006357B">
        <w:rPr>
          <w:rFonts w:cs="Arial"/>
          <w:b/>
          <w:bCs/>
          <w:color w:val="7030A0"/>
        </w:rPr>
        <w:t>have worked, as have men</w:t>
      </w:r>
      <w:r w:rsidR="00A532FB" w:rsidRPr="0006357B">
        <w:rPr>
          <w:rFonts w:cs="Arial"/>
          <w:b/>
          <w:bCs/>
          <w:color w:val="7030A0"/>
        </w:rPr>
        <w:t xml:space="preserve">, although the type of work they performed was </w:t>
      </w:r>
      <w:r w:rsidR="00C53CFB" w:rsidRPr="0006357B">
        <w:rPr>
          <w:rFonts w:cs="Arial"/>
          <w:b/>
          <w:bCs/>
          <w:color w:val="7030A0"/>
        </w:rPr>
        <w:t>typically</w:t>
      </w:r>
      <w:r w:rsidR="00A532FB" w:rsidRPr="0006357B">
        <w:rPr>
          <w:rFonts w:cs="Arial"/>
          <w:b/>
          <w:bCs/>
          <w:color w:val="7030A0"/>
        </w:rPr>
        <w:t xml:space="preserve"> strictly limited.  </w:t>
      </w:r>
      <w:r w:rsidR="002066CF" w:rsidRPr="0006357B">
        <w:rPr>
          <w:rFonts w:cs="Arial"/>
          <w:b/>
          <w:bCs/>
          <w:color w:val="7030A0"/>
        </w:rPr>
        <w:t xml:space="preserve">When the Industrial Revolution </w:t>
      </w:r>
      <w:r w:rsidR="00D02A26" w:rsidRPr="0006357B">
        <w:rPr>
          <w:rFonts w:cs="Arial"/>
          <w:b/>
          <w:bCs/>
          <w:color w:val="7030A0"/>
        </w:rPr>
        <w:t xml:space="preserve">dramatically increased the proportion of workers who were employees, </w:t>
      </w:r>
      <w:r w:rsidR="00C53CFB" w:rsidRPr="0006357B">
        <w:rPr>
          <w:rFonts w:cs="Arial"/>
          <w:b/>
          <w:bCs/>
          <w:color w:val="7030A0"/>
        </w:rPr>
        <w:t xml:space="preserve">traditional attitudes in most countries </w:t>
      </w:r>
      <w:r w:rsidR="00907CA3" w:rsidRPr="0006357B">
        <w:rPr>
          <w:rFonts w:cs="Arial"/>
          <w:b/>
          <w:bCs/>
          <w:color w:val="7030A0"/>
        </w:rPr>
        <w:t xml:space="preserve">strictly limited the type of work thought appropriate for </w:t>
      </w:r>
      <w:r w:rsidR="00A83D44" w:rsidRPr="0006357B">
        <w:rPr>
          <w:rFonts w:cs="Arial"/>
          <w:b/>
          <w:bCs/>
          <w:color w:val="7030A0"/>
        </w:rPr>
        <w:t>women, which significantly reduced their paid employment during the 19</w:t>
      </w:r>
      <w:r w:rsidR="00A83D44" w:rsidRPr="0006357B">
        <w:rPr>
          <w:rFonts w:cs="Arial"/>
          <w:b/>
          <w:bCs/>
          <w:color w:val="7030A0"/>
          <w:vertAlign w:val="superscript"/>
        </w:rPr>
        <w:t>th</w:t>
      </w:r>
      <w:r w:rsidR="00A83D44" w:rsidRPr="0006357B">
        <w:rPr>
          <w:rFonts w:cs="Arial"/>
          <w:b/>
          <w:bCs/>
          <w:color w:val="7030A0"/>
        </w:rPr>
        <w:t xml:space="preserve"> century.  </w:t>
      </w:r>
      <w:r w:rsidR="008A3F07" w:rsidRPr="0006357B">
        <w:rPr>
          <w:rFonts w:cs="Arial"/>
          <w:b/>
          <w:bCs/>
          <w:color w:val="7030A0"/>
        </w:rPr>
        <w:t xml:space="preserve">When women’s overall </w:t>
      </w:r>
      <w:r w:rsidR="00956435" w:rsidRPr="0006357B">
        <w:rPr>
          <w:rFonts w:cs="Arial"/>
          <w:b/>
          <w:bCs/>
          <w:color w:val="7030A0"/>
        </w:rPr>
        <w:t xml:space="preserve">paid </w:t>
      </w:r>
      <w:r w:rsidR="008A3F07" w:rsidRPr="0006357B">
        <w:rPr>
          <w:rFonts w:cs="Arial"/>
          <w:b/>
          <w:bCs/>
          <w:color w:val="7030A0"/>
        </w:rPr>
        <w:t xml:space="preserve">employment rates </w:t>
      </w:r>
      <w:r w:rsidR="00956435" w:rsidRPr="0006357B">
        <w:rPr>
          <w:rFonts w:cs="Arial"/>
          <w:b/>
          <w:bCs/>
          <w:color w:val="7030A0"/>
        </w:rPr>
        <w:t xml:space="preserve">began </w:t>
      </w:r>
      <w:r w:rsidR="00316ACD" w:rsidRPr="0006357B">
        <w:rPr>
          <w:rFonts w:cs="Arial"/>
          <w:b/>
          <w:bCs/>
          <w:color w:val="7030A0"/>
        </w:rPr>
        <w:t xml:space="preserve">to steeply rise in the post-World War II period, this in turn had a persistent and </w:t>
      </w:r>
      <w:r w:rsidR="00405467" w:rsidRPr="0006357B">
        <w:rPr>
          <w:rFonts w:cs="Arial"/>
          <w:b/>
          <w:bCs/>
          <w:color w:val="7030A0"/>
        </w:rPr>
        <w:t>significant impact upon overall employment rate</w:t>
      </w:r>
      <w:r w:rsidR="00645662">
        <w:rPr>
          <w:rFonts w:cs="Arial"/>
          <w:b/>
          <w:bCs/>
          <w:color w:val="7030A0"/>
        </w:rPr>
        <w:t>s</w:t>
      </w:r>
      <w:r w:rsidR="00405467" w:rsidRPr="0006357B">
        <w:rPr>
          <w:rFonts w:cs="Arial"/>
          <w:b/>
          <w:bCs/>
          <w:color w:val="7030A0"/>
        </w:rPr>
        <w:t xml:space="preserve"> among older individuals.  </w:t>
      </w:r>
    </w:p>
    <w:p w14:paraId="3F40D8CA" w14:textId="77777777" w:rsidR="00EA2937" w:rsidRPr="00EA2937" w:rsidRDefault="00EA2937" w:rsidP="00ED4850">
      <w:pPr>
        <w:pBdr>
          <w:top w:val="single" w:sz="12" w:space="1" w:color="FF0000"/>
          <w:left w:val="single" w:sz="12" w:space="4" w:color="FF0000"/>
          <w:bottom w:val="single" w:sz="12" w:space="1" w:color="FF0000"/>
          <w:right w:val="single" w:sz="12" w:space="4" w:color="FF0000"/>
        </w:pBdr>
        <w:rPr>
          <w:rFonts w:cs="Arial"/>
          <w:b/>
          <w:bCs/>
          <w:color w:val="7030A0"/>
          <w:sz w:val="10"/>
          <w:szCs w:val="10"/>
        </w:rPr>
      </w:pPr>
    </w:p>
    <w:p w14:paraId="715314A6" w14:textId="6FFCD159" w:rsidR="004B5684" w:rsidRDefault="001D6F03" w:rsidP="00ED4850">
      <w:pPr>
        <w:pBdr>
          <w:top w:val="single" w:sz="12" w:space="1" w:color="FF0000"/>
          <w:left w:val="single" w:sz="12" w:space="4" w:color="FF0000"/>
          <w:bottom w:val="single" w:sz="12" w:space="1" w:color="FF0000"/>
          <w:right w:val="single" w:sz="12" w:space="4" w:color="FF0000"/>
        </w:pBdr>
        <w:rPr>
          <w:rFonts w:cs="Arial"/>
          <w:b/>
          <w:bCs/>
          <w:color w:val="7030A0"/>
        </w:rPr>
      </w:pPr>
      <w:r w:rsidRPr="007D5A75">
        <w:rPr>
          <w:rFonts w:cs="Arial"/>
          <w:b/>
          <w:bCs/>
          <w:color w:val="00B050"/>
        </w:rPr>
        <w:t>Disability income support</w:t>
      </w:r>
      <w:r>
        <w:rPr>
          <w:rFonts w:cs="Arial"/>
          <w:b/>
          <w:bCs/>
          <w:color w:val="7030A0"/>
        </w:rPr>
        <w:t xml:space="preserve"> programs (primarily Social Security Disability Insurance and Supplemental Security Income)</w:t>
      </w:r>
      <w:r w:rsidR="00CF6B68">
        <w:rPr>
          <w:rFonts w:cs="Arial"/>
          <w:b/>
          <w:bCs/>
          <w:color w:val="7030A0"/>
        </w:rPr>
        <w:t xml:space="preserve"> have made it possible for some older individuals to effectively retire before </w:t>
      </w:r>
      <w:r w:rsidR="00E23175">
        <w:rPr>
          <w:rFonts w:cs="Arial"/>
          <w:b/>
          <w:bCs/>
          <w:color w:val="7030A0"/>
        </w:rPr>
        <w:t xml:space="preserve">they become eligible for Old Age Insurance benefits.  However, the proportion of older individuals who receive such benefits has always been relatively low, and has </w:t>
      </w:r>
      <w:r w:rsidR="007D5A75">
        <w:rPr>
          <w:rFonts w:cs="Arial"/>
          <w:b/>
          <w:bCs/>
          <w:color w:val="7030A0"/>
        </w:rPr>
        <w:t xml:space="preserve">diminished in recent years.  Therefore it is unlikely that </w:t>
      </w:r>
      <w:r w:rsidR="00F55F42">
        <w:rPr>
          <w:rFonts w:cs="Arial"/>
          <w:b/>
          <w:bCs/>
          <w:color w:val="7030A0"/>
        </w:rPr>
        <w:t>they reduce</w:t>
      </w:r>
      <w:r w:rsidR="00671E3B">
        <w:rPr>
          <w:rFonts w:cs="Arial"/>
          <w:b/>
          <w:bCs/>
          <w:color w:val="7030A0"/>
        </w:rPr>
        <w:t>d</w:t>
      </w:r>
      <w:r w:rsidR="00F55F42">
        <w:rPr>
          <w:rFonts w:cs="Arial"/>
          <w:b/>
          <w:bCs/>
          <w:color w:val="7030A0"/>
        </w:rPr>
        <w:t xml:space="preserve"> employment among older </w:t>
      </w:r>
      <w:r w:rsidR="00220515">
        <w:rPr>
          <w:rFonts w:cs="Arial"/>
          <w:b/>
          <w:bCs/>
          <w:color w:val="7030A0"/>
        </w:rPr>
        <w:t xml:space="preserve">individuals, especially </w:t>
      </w:r>
      <w:r w:rsidR="0047286A">
        <w:rPr>
          <w:rFonts w:cs="Arial"/>
          <w:b/>
          <w:bCs/>
          <w:color w:val="7030A0"/>
        </w:rPr>
        <w:t>as</w:t>
      </w:r>
      <w:r w:rsidR="00220515">
        <w:rPr>
          <w:rFonts w:cs="Arial"/>
          <w:b/>
          <w:bCs/>
          <w:color w:val="7030A0"/>
        </w:rPr>
        <w:t xml:space="preserve"> employment rates for 55 to 64 year-olds continue to </w:t>
      </w:r>
      <w:r w:rsidR="0047286A">
        <w:rPr>
          <w:rFonts w:cs="Arial"/>
          <w:b/>
          <w:bCs/>
          <w:color w:val="7030A0"/>
        </w:rPr>
        <w:t xml:space="preserve">rise. </w:t>
      </w:r>
    </w:p>
    <w:p w14:paraId="22AF4E40" w14:textId="77777777" w:rsidR="00EA2937" w:rsidRPr="00EA2937" w:rsidRDefault="00EA2937" w:rsidP="00ED4850">
      <w:pPr>
        <w:pBdr>
          <w:top w:val="single" w:sz="12" w:space="1" w:color="FF0000"/>
          <w:left w:val="single" w:sz="12" w:space="4" w:color="FF0000"/>
          <w:bottom w:val="single" w:sz="12" w:space="1" w:color="FF0000"/>
          <w:right w:val="single" w:sz="12" w:space="4" w:color="FF0000"/>
        </w:pBdr>
        <w:rPr>
          <w:rFonts w:cs="Arial"/>
          <w:b/>
          <w:bCs/>
          <w:color w:val="7030A0"/>
          <w:sz w:val="10"/>
          <w:szCs w:val="10"/>
        </w:rPr>
      </w:pPr>
    </w:p>
    <w:p w14:paraId="001DC581" w14:textId="060FAF9A" w:rsidR="00AC499C" w:rsidRDefault="00AC499C" w:rsidP="00ED4850">
      <w:pPr>
        <w:pBdr>
          <w:top w:val="single" w:sz="12" w:space="1" w:color="FF0000"/>
          <w:left w:val="single" w:sz="12" w:space="4" w:color="FF0000"/>
          <w:bottom w:val="single" w:sz="12" w:space="1" w:color="FF0000"/>
          <w:right w:val="single" w:sz="12" w:space="4" w:color="FF0000"/>
        </w:pBdr>
        <w:rPr>
          <w:rFonts w:cs="Arial"/>
          <w:b/>
          <w:bCs/>
          <w:color w:val="7030A0"/>
        </w:rPr>
      </w:pPr>
      <w:r>
        <w:rPr>
          <w:rFonts w:cs="Arial"/>
          <w:b/>
          <w:bCs/>
          <w:color w:val="7030A0"/>
        </w:rPr>
        <w:t xml:space="preserve">The </w:t>
      </w:r>
      <w:r w:rsidRPr="0038167B">
        <w:rPr>
          <w:rFonts w:cs="Arial"/>
          <w:b/>
          <w:bCs/>
          <w:color w:val="00B050"/>
        </w:rPr>
        <w:t>post-World War II baby boom</w:t>
      </w:r>
      <w:r>
        <w:rPr>
          <w:rFonts w:cs="Arial"/>
          <w:b/>
          <w:bCs/>
          <w:color w:val="7030A0"/>
        </w:rPr>
        <w:t xml:space="preserve"> </w:t>
      </w:r>
      <w:r w:rsidR="007B25C3">
        <w:rPr>
          <w:rFonts w:cs="Arial"/>
          <w:b/>
          <w:bCs/>
          <w:color w:val="7030A0"/>
        </w:rPr>
        <w:t xml:space="preserve">initially significantly lowered the average age of Americans, but has in recent decades </w:t>
      </w:r>
      <w:r w:rsidR="0038167B">
        <w:rPr>
          <w:rFonts w:cs="Arial"/>
          <w:b/>
          <w:bCs/>
          <w:color w:val="7030A0"/>
        </w:rPr>
        <w:t>dramatically increased it (aided by falling birth rates since the baby boom)</w:t>
      </w:r>
      <w:r w:rsidR="001F6AAD">
        <w:rPr>
          <w:rFonts w:cs="Arial"/>
          <w:b/>
          <w:bCs/>
          <w:color w:val="7030A0"/>
        </w:rPr>
        <w:t xml:space="preserve">.  </w:t>
      </w:r>
      <w:r w:rsidR="0034751A">
        <w:rPr>
          <w:rFonts w:cs="Arial"/>
          <w:b/>
          <w:bCs/>
          <w:color w:val="7030A0"/>
        </w:rPr>
        <w:t xml:space="preserve">This has nearly doubled the </w:t>
      </w:r>
      <w:r w:rsidR="00324271">
        <w:rPr>
          <w:rFonts w:cs="Arial"/>
          <w:b/>
          <w:bCs/>
          <w:color w:val="7030A0"/>
        </w:rPr>
        <w:t xml:space="preserve">proportion </w:t>
      </w:r>
      <w:r w:rsidR="005650D5">
        <w:rPr>
          <w:rFonts w:cs="Arial"/>
          <w:b/>
          <w:bCs/>
          <w:color w:val="7030A0"/>
        </w:rPr>
        <w:t xml:space="preserve">of total employment constituted by those 55 and older, from 12 percent </w:t>
      </w:r>
      <w:r w:rsidR="000C1F95">
        <w:rPr>
          <w:rFonts w:cs="Arial"/>
          <w:b/>
          <w:bCs/>
          <w:color w:val="7030A0"/>
        </w:rPr>
        <w:t xml:space="preserve">in the early 1990s to nearly 24 percent since </w:t>
      </w:r>
      <w:r w:rsidR="00324271">
        <w:rPr>
          <w:rFonts w:cs="Arial"/>
          <w:b/>
          <w:bCs/>
          <w:color w:val="7030A0"/>
        </w:rPr>
        <w:t>2019.  This large share has made the U.S. economy much more dependent on older workers</w:t>
      </w:r>
      <w:r w:rsidR="00FE4F88">
        <w:rPr>
          <w:rFonts w:cs="Arial"/>
          <w:b/>
          <w:bCs/>
          <w:color w:val="7030A0"/>
        </w:rPr>
        <w:t xml:space="preserve">, and made it more difficult for employers to avoid hiring them, or to discriminate against </w:t>
      </w:r>
      <w:r w:rsidR="00E356F9">
        <w:rPr>
          <w:rFonts w:cs="Arial"/>
          <w:b/>
          <w:bCs/>
          <w:color w:val="7030A0"/>
        </w:rPr>
        <w:t xml:space="preserve">them, although such discrimination remains a serious problem for older individuals.  </w:t>
      </w:r>
      <w:r w:rsidR="00246566">
        <w:rPr>
          <w:rFonts w:cs="Arial"/>
          <w:b/>
          <w:bCs/>
          <w:color w:val="7030A0"/>
        </w:rPr>
        <w:t xml:space="preserve">As the baby boom generation ages, retires and </w:t>
      </w:r>
      <w:r w:rsidR="00AA3367">
        <w:rPr>
          <w:rFonts w:cs="Arial"/>
          <w:b/>
          <w:bCs/>
          <w:color w:val="7030A0"/>
        </w:rPr>
        <w:t xml:space="preserve">then </w:t>
      </w:r>
      <w:r w:rsidR="00246566">
        <w:rPr>
          <w:rFonts w:cs="Arial"/>
          <w:b/>
          <w:bCs/>
          <w:color w:val="7030A0"/>
        </w:rPr>
        <w:t xml:space="preserve">dies off, </w:t>
      </w:r>
      <w:r w:rsidR="00A2706F">
        <w:rPr>
          <w:rFonts w:cs="Arial"/>
          <w:b/>
          <w:bCs/>
          <w:color w:val="7030A0"/>
        </w:rPr>
        <w:t xml:space="preserve">the share of older workers in the workforce will </w:t>
      </w:r>
      <w:r w:rsidR="001B4AAC">
        <w:rPr>
          <w:rFonts w:cs="Arial"/>
          <w:b/>
          <w:bCs/>
          <w:color w:val="7030A0"/>
        </w:rPr>
        <w:t xml:space="preserve">decline, presenting some new challenges for the economy.  </w:t>
      </w:r>
    </w:p>
    <w:p w14:paraId="3C290F41" w14:textId="77777777" w:rsidR="00EA2937" w:rsidRPr="00EA2937" w:rsidRDefault="00EA2937" w:rsidP="00ED4850">
      <w:pPr>
        <w:pBdr>
          <w:top w:val="single" w:sz="12" w:space="1" w:color="FF0000"/>
          <w:left w:val="single" w:sz="12" w:space="4" w:color="FF0000"/>
          <w:bottom w:val="single" w:sz="12" w:space="1" w:color="FF0000"/>
          <w:right w:val="single" w:sz="12" w:space="4" w:color="FF0000"/>
        </w:pBdr>
        <w:rPr>
          <w:rFonts w:cs="Arial"/>
          <w:b/>
          <w:bCs/>
          <w:color w:val="7030A0"/>
          <w:sz w:val="10"/>
          <w:szCs w:val="10"/>
        </w:rPr>
      </w:pPr>
    </w:p>
    <w:p w14:paraId="127A8E49" w14:textId="5A722F3B" w:rsidR="00ED4850" w:rsidRPr="00965393" w:rsidRDefault="0048094A" w:rsidP="00ED4850">
      <w:pPr>
        <w:pBdr>
          <w:top w:val="single" w:sz="12" w:space="1" w:color="FF0000"/>
          <w:left w:val="single" w:sz="12" w:space="4" w:color="FF0000"/>
          <w:bottom w:val="single" w:sz="12" w:space="1" w:color="FF0000"/>
          <w:right w:val="single" w:sz="12" w:space="4" w:color="FF0000"/>
        </w:pBdr>
        <w:rPr>
          <w:rFonts w:cs="Arial"/>
          <w:b/>
          <w:bCs/>
          <w:color w:val="7030A0"/>
        </w:rPr>
      </w:pPr>
      <w:r w:rsidRPr="0048094A">
        <w:rPr>
          <w:rFonts w:cs="Arial"/>
          <w:b/>
          <w:bCs/>
          <w:color w:val="7030A0"/>
        </w:rPr>
        <w:t xml:space="preserve">Peak employment rates for </w:t>
      </w:r>
      <w:r>
        <w:rPr>
          <w:rFonts w:cs="Arial"/>
          <w:b/>
          <w:bCs/>
          <w:color w:val="7030A0"/>
        </w:rPr>
        <w:t>prime working-age 25 to 54 year-olds</w:t>
      </w:r>
      <w:r w:rsidRPr="0048094A">
        <w:rPr>
          <w:rFonts w:cs="Arial"/>
          <w:b/>
          <w:bCs/>
          <w:color w:val="7030A0"/>
        </w:rPr>
        <w:t xml:space="preserve"> slightly exceeded 80 percent in 2000, and again in 2023.  In comparison, the historic peak for </w:t>
      </w:r>
      <w:r w:rsidRPr="002F6B7C">
        <w:rPr>
          <w:rFonts w:cs="Arial"/>
          <w:b/>
          <w:bCs/>
          <w:color w:val="00B050"/>
        </w:rPr>
        <w:t xml:space="preserve">55 to 59 year-olds </w:t>
      </w:r>
      <w:r w:rsidRPr="0048094A">
        <w:rPr>
          <w:rFonts w:cs="Arial"/>
          <w:b/>
          <w:bCs/>
          <w:color w:val="7030A0"/>
        </w:rPr>
        <w:t xml:space="preserve">was about 7 percentage points lower, at 71.9 percent in 2023, falling much further to 56.7 percent for </w:t>
      </w:r>
      <w:r w:rsidRPr="002F6B7C">
        <w:rPr>
          <w:rFonts w:cs="Arial"/>
          <w:b/>
          <w:bCs/>
          <w:color w:val="00B050"/>
        </w:rPr>
        <w:t>60 to 64 year-olds</w:t>
      </w:r>
      <w:r w:rsidRPr="0048094A">
        <w:rPr>
          <w:rFonts w:cs="Arial"/>
          <w:b/>
          <w:bCs/>
          <w:color w:val="7030A0"/>
        </w:rPr>
        <w:t xml:space="preserve"> in 2023 (also a historic peak).  Unless coronavirus resurges, employment rates among </w:t>
      </w:r>
      <w:r w:rsidR="004652F1">
        <w:rPr>
          <w:rFonts w:cs="Arial"/>
          <w:b/>
          <w:bCs/>
          <w:color w:val="7030A0"/>
        </w:rPr>
        <w:t xml:space="preserve">such </w:t>
      </w:r>
      <w:r w:rsidRPr="0048094A">
        <w:rPr>
          <w:rFonts w:cs="Arial"/>
          <w:b/>
          <w:bCs/>
          <w:color w:val="7030A0"/>
        </w:rPr>
        <w:t>older individuals are likely to continue to rise, but are unlikely to match rates for prime-age individuals.</w:t>
      </w:r>
      <w:r w:rsidR="004652F1">
        <w:rPr>
          <w:rFonts w:cs="Arial"/>
          <w:b/>
          <w:bCs/>
          <w:color w:val="7030A0"/>
        </w:rPr>
        <w:t xml:space="preserve">  </w:t>
      </w:r>
      <w:r w:rsidR="00674E1D">
        <w:rPr>
          <w:rFonts w:cs="Arial"/>
          <w:b/>
          <w:bCs/>
          <w:color w:val="7030A0"/>
        </w:rPr>
        <w:t>The proportion</w:t>
      </w:r>
      <w:r w:rsidR="007C232B">
        <w:rPr>
          <w:rFonts w:cs="Arial"/>
          <w:b/>
          <w:bCs/>
          <w:color w:val="7030A0"/>
        </w:rPr>
        <w:t>s</w:t>
      </w:r>
      <w:r w:rsidR="00674E1D">
        <w:rPr>
          <w:rFonts w:cs="Arial"/>
          <w:b/>
          <w:bCs/>
          <w:color w:val="7030A0"/>
        </w:rPr>
        <w:t xml:space="preserve"> fall much further for</w:t>
      </w:r>
      <w:r w:rsidR="00093EBA">
        <w:rPr>
          <w:rFonts w:cs="Arial"/>
          <w:b/>
          <w:bCs/>
          <w:color w:val="7030A0"/>
        </w:rPr>
        <w:t xml:space="preserve"> </w:t>
      </w:r>
      <w:r w:rsidR="00093EBA" w:rsidRPr="000A0736">
        <w:rPr>
          <w:rFonts w:cs="Arial"/>
          <w:b/>
          <w:bCs/>
          <w:color w:val="00B050"/>
        </w:rPr>
        <w:t>65 to 69</w:t>
      </w:r>
      <w:r w:rsidR="00093EBA">
        <w:rPr>
          <w:rFonts w:cs="Arial"/>
          <w:b/>
          <w:bCs/>
          <w:color w:val="7030A0"/>
        </w:rPr>
        <w:t xml:space="preserve"> and </w:t>
      </w:r>
      <w:r w:rsidR="00674E1D" w:rsidRPr="00117C5D">
        <w:rPr>
          <w:rFonts w:cs="Arial"/>
          <w:b/>
          <w:bCs/>
          <w:color w:val="00B050"/>
        </w:rPr>
        <w:t>70 to 74 year-olds</w:t>
      </w:r>
      <w:r w:rsidR="00674E1D">
        <w:rPr>
          <w:rFonts w:cs="Arial"/>
          <w:b/>
          <w:bCs/>
          <w:color w:val="7030A0"/>
        </w:rPr>
        <w:t xml:space="preserve">, which </w:t>
      </w:r>
      <w:r w:rsidR="007C232B">
        <w:rPr>
          <w:rFonts w:cs="Arial"/>
          <w:b/>
          <w:bCs/>
          <w:color w:val="7030A0"/>
        </w:rPr>
        <w:t>haven’t</w:t>
      </w:r>
      <w:r w:rsidR="00674E1D">
        <w:rPr>
          <w:rFonts w:cs="Arial"/>
          <w:b/>
          <w:bCs/>
          <w:color w:val="7030A0"/>
        </w:rPr>
        <w:t xml:space="preserve"> returned to </w:t>
      </w:r>
      <w:r w:rsidR="007C232B">
        <w:rPr>
          <w:rFonts w:cs="Arial"/>
          <w:b/>
          <w:bCs/>
          <w:color w:val="7030A0"/>
        </w:rPr>
        <w:t>their</w:t>
      </w:r>
      <w:r w:rsidR="00674E1D">
        <w:rPr>
          <w:rFonts w:cs="Arial"/>
          <w:b/>
          <w:bCs/>
          <w:color w:val="7030A0"/>
        </w:rPr>
        <w:t xml:space="preserve"> pre-pandemic 2019 peak</w:t>
      </w:r>
      <w:r w:rsidR="000A0736">
        <w:rPr>
          <w:rFonts w:cs="Arial"/>
          <w:b/>
          <w:bCs/>
          <w:color w:val="7030A0"/>
        </w:rPr>
        <w:t>s</w:t>
      </w:r>
      <w:r w:rsidR="00674E1D">
        <w:rPr>
          <w:rFonts w:cs="Arial"/>
          <w:b/>
          <w:bCs/>
          <w:color w:val="7030A0"/>
        </w:rPr>
        <w:t xml:space="preserve"> </w:t>
      </w:r>
      <w:r w:rsidR="000D2114">
        <w:rPr>
          <w:rFonts w:cs="Arial"/>
          <w:b/>
          <w:bCs/>
          <w:color w:val="7030A0"/>
        </w:rPr>
        <w:t xml:space="preserve">of </w:t>
      </w:r>
      <w:r w:rsidR="000A0736">
        <w:rPr>
          <w:rFonts w:cs="Arial"/>
          <w:b/>
          <w:bCs/>
          <w:color w:val="7030A0"/>
        </w:rPr>
        <w:t xml:space="preserve">33.3 and </w:t>
      </w:r>
      <w:r w:rsidR="000D2114">
        <w:rPr>
          <w:rFonts w:cs="Arial"/>
          <w:b/>
          <w:bCs/>
          <w:color w:val="7030A0"/>
        </w:rPr>
        <w:t xml:space="preserve">19.1 </w:t>
      </w:r>
      <w:r w:rsidR="00FA60C2">
        <w:rPr>
          <w:rFonts w:cs="Arial"/>
          <w:b/>
          <w:bCs/>
          <w:color w:val="7030A0"/>
        </w:rPr>
        <w:t>percent</w:t>
      </w:r>
      <w:r w:rsidR="004475D1">
        <w:rPr>
          <w:rFonts w:cs="Arial"/>
          <w:b/>
          <w:bCs/>
          <w:color w:val="7030A0"/>
        </w:rPr>
        <w:t>, respectively</w:t>
      </w:r>
      <w:r w:rsidR="00FA60C2">
        <w:rPr>
          <w:rFonts w:cs="Arial"/>
          <w:b/>
          <w:bCs/>
          <w:color w:val="7030A0"/>
        </w:rPr>
        <w:t xml:space="preserve"> </w:t>
      </w:r>
      <w:r w:rsidR="00117C5D">
        <w:rPr>
          <w:rFonts w:cs="Arial"/>
          <w:b/>
          <w:bCs/>
          <w:color w:val="7030A0"/>
        </w:rPr>
        <w:t>(</w:t>
      </w:r>
      <w:r w:rsidR="004475D1">
        <w:rPr>
          <w:rFonts w:cs="Arial"/>
          <w:b/>
          <w:bCs/>
          <w:color w:val="7030A0"/>
        </w:rPr>
        <w:t xml:space="preserve">these </w:t>
      </w:r>
      <w:r w:rsidR="00117C5D">
        <w:rPr>
          <w:rFonts w:cs="Arial"/>
          <w:b/>
          <w:bCs/>
          <w:color w:val="7030A0"/>
        </w:rPr>
        <w:t>peak</w:t>
      </w:r>
      <w:r w:rsidR="004475D1">
        <w:rPr>
          <w:rFonts w:cs="Arial"/>
          <w:b/>
          <w:bCs/>
          <w:color w:val="7030A0"/>
        </w:rPr>
        <w:t>s</w:t>
      </w:r>
      <w:r w:rsidR="00117C5D">
        <w:rPr>
          <w:rFonts w:cs="Arial"/>
          <w:b/>
          <w:bCs/>
          <w:color w:val="7030A0"/>
        </w:rPr>
        <w:t xml:space="preserve"> </w:t>
      </w:r>
      <w:r w:rsidR="004475D1">
        <w:rPr>
          <w:rFonts w:cs="Arial"/>
          <w:b/>
          <w:bCs/>
          <w:color w:val="7030A0"/>
        </w:rPr>
        <w:t>are</w:t>
      </w:r>
      <w:r w:rsidR="00117C5D">
        <w:rPr>
          <w:rFonts w:cs="Arial"/>
          <w:b/>
          <w:bCs/>
          <w:color w:val="7030A0"/>
        </w:rPr>
        <w:t xml:space="preserve"> lower than the 1950 level</w:t>
      </w:r>
      <w:r w:rsidR="004475D1">
        <w:rPr>
          <w:rFonts w:cs="Arial"/>
          <w:b/>
          <w:bCs/>
          <w:color w:val="7030A0"/>
        </w:rPr>
        <w:t>s</w:t>
      </w:r>
      <w:r w:rsidR="00117C5D">
        <w:rPr>
          <w:rFonts w:cs="Arial"/>
          <w:b/>
          <w:bCs/>
          <w:color w:val="7030A0"/>
        </w:rPr>
        <w:t xml:space="preserve">).  </w:t>
      </w:r>
      <w:r w:rsidR="00C2317C">
        <w:rPr>
          <w:rFonts w:cs="Arial"/>
          <w:b/>
          <w:bCs/>
          <w:color w:val="7030A0"/>
        </w:rPr>
        <w:t xml:space="preserve">Fewer than 10 percent of those </w:t>
      </w:r>
      <w:r w:rsidR="00C2317C" w:rsidRPr="006C441C">
        <w:rPr>
          <w:rFonts w:cs="Arial"/>
          <w:b/>
          <w:bCs/>
          <w:color w:val="00B050"/>
        </w:rPr>
        <w:t>75 and older</w:t>
      </w:r>
      <w:r w:rsidR="00C2317C">
        <w:rPr>
          <w:rFonts w:cs="Arial"/>
          <w:b/>
          <w:bCs/>
          <w:color w:val="7030A0"/>
        </w:rPr>
        <w:t xml:space="preserve"> work, with </w:t>
      </w:r>
      <w:r w:rsidR="00544126">
        <w:rPr>
          <w:rFonts w:cs="Arial"/>
          <w:b/>
          <w:bCs/>
          <w:color w:val="7030A0"/>
        </w:rPr>
        <w:t xml:space="preserve">again a failure to return to the recent peak in 2019 of </w:t>
      </w:r>
      <w:r w:rsidR="000C38B8">
        <w:rPr>
          <w:rFonts w:cs="Arial"/>
          <w:b/>
          <w:bCs/>
          <w:color w:val="7030A0"/>
        </w:rPr>
        <w:t>8.8</w:t>
      </w:r>
      <w:r w:rsidR="00544126">
        <w:rPr>
          <w:rFonts w:cs="Arial"/>
          <w:b/>
          <w:bCs/>
          <w:color w:val="7030A0"/>
        </w:rPr>
        <w:t xml:space="preserve"> percent </w:t>
      </w:r>
      <w:r w:rsidR="006C441C">
        <w:rPr>
          <w:rFonts w:cs="Arial"/>
          <w:b/>
          <w:bCs/>
          <w:color w:val="7030A0"/>
        </w:rPr>
        <w:t>(also below the 1950 level).</w:t>
      </w:r>
    </w:p>
    <w:p w14:paraId="50090936" w14:textId="77777777" w:rsidR="0085187E" w:rsidRDefault="0085187E">
      <w:pPr>
        <w:rPr>
          <w:rFonts w:cs="Arial"/>
        </w:rPr>
      </w:pPr>
    </w:p>
    <w:p w14:paraId="47345890" w14:textId="77777777" w:rsidR="0085187E" w:rsidRDefault="0085187E">
      <w:pPr>
        <w:rPr>
          <w:rFonts w:cs="Arial"/>
        </w:rPr>
      </w:pPr>
    </w:p>
    <w:p w14:paraId="49C2C347" w14:textId="77777777" w:rsidR="0085187E" w:rsidRDefault="0085187E">
      <w:pPr>
        <w:rPr>
          <w:rFonts w:cs="Arial"/>
        </w:rPr>
      </w:pPr>
    </w:p>
    <w:p w14:paraId="1F96829B" w14:textId="77777777" w:rsidR="0085187E" w:rsidRPr="003D3F7A" w:rsidRDefault="0085187E">
      <w:pPr>
        <w:rPr>
          <w:rFonts w:cs="Arial"/>
        </w:rPr>
      </w:pPr>
    </w:p>
    <w:p w14:paraId="0325E3C6" w14:textId="77777777" w:rsidR="006C7892" w:rsidRPr="003D3F7A" w:rsidRDefault="006C7892">
      <w:pPr>
        <w:rPr>
          <w:rFonts w:cs="Arial"/>
        </w:rPr>
      </w:pPr>
    </w:p>
    <w:p w14:paraId="3E233E4A" w14:textId="691979F1" w:rsidR="007C232B" w:rsidRDefault="007C232B"/>
    <w:p w14:paraId="628ADF22" w14:textId="3B7D79C8" w:rsidR="00965393" w:rsidRDefault="00965393">
      <w:r>
        <w:br w:type="page"/>
      </w:r>
    </w:p>
    <w:tbl>
      <w:tblPr>
        <w:tblStyle w:val="TableGrid"/>
        <w:tblW w:w="0" w:type="auto"/>
        <w:tblLook w:val="04A0" w:firstRow="1" w:lastRow="0" w:firstColumn="1" w:lastColumn="0" w:noHBand="0" w:noVBand="1"/>
      </w:tblPr>
      <w:tblGrid>
        <w:gridCol w:w="6925"/>
        <w:gridCol w:w="990"/>
      </w:tblGrid>
      <w:tr w:rsidR="003F74DC" w:rsidRPr="0032238A" w14:paraId="05E13BB7" w14:textId="77777777" w:rsidTr="0032238A">
        <w:trPr>
          <w:cantSplit/>
          <w:tblHeader/>
        </w:trPr>
        <w:tc>
          <w:tcPr>
            <w:tcW w:w="6925" w:type="dxa"/>
          </w:tcPr>
          <w:p w14:paraId="1866B734" w14:textId="33E0DAA9" w:rsidR="003F74DC" w:rsidRPr="0032238A" w:rsidRDefault="00356A9E" w:rsidP="003F74DC">
            <w:pPr>
              <w:jc w:val="center"/>
              <w:rPr>
                <w:rFonts w:cs="Arial"/>
                <w:b/>
                <w:bCs/>
              </w:rPr>
            </w:pPr>
            <w:r>
              <w:rPr>
                <w:rFonts w:cs="Arial"/>
                <w:b/>
                <w:bCs/>
              </w:rPr>
              <w:lastRenderedPageBreak/>
              <w:t>Contents</w:t>
            </w:r>
            <w:r w:rsidR="0032238A">
              <w:rPr>
                <w:rFonts w:cs="Arial"/>
                <w:b/>
                <w:bCs/>
              </w:rPr>
              <w:t xml:space="preserve"> </w:t>
            </w:r>
          </w:p>
        </w:tc>
        <w:tc>
          <w:tcPr>
            <w:tcW w:w="990" w:type="dxa"/>
          </w:tcPr>
          <w:p w14:paraId="378F0C8D" w14:textId="7CAD6B72" w:rsidR="003F74DC" w:rsidRPr="0032238A" w:rsidRDefault="0032238A" w:rsidP="003F74DC">
            <w:pPr>
              <w:jc w:val="center"/>
              <w:rPr>
                <w:rFonts w:cs="Arial"/>
                <w:b/>
                <w:bCs/>
              </w:rPr>
            </w:pPr>
            <w:r>
              <w:rPr>
                <w:rFonts w:cs="Arial"/>
                <w:b/>
                <w:bCs/>
              </w:rPr>
              <w:t xml:space="preserve">Page Number </w:t>
            </w:r>
          </w:p>
        </w:tc>
      </w:tr>
      <w:tr w:rsidR="003F74DC" w14:paraId="4DFA14E7" w14:textId="77777777" w:rsidTr="0032238A">
        <w:tc>
          <w:tcPr>
            <w:tcW w:w="6925" w:type="dxa"/>
          </w:tcPr>
          <w:p w14:paraId="2CBCA1B1" w14:textId="1F136087" w:rsidR="003F74DC" w:rsidRDefault="0032238A" w:rsidP="0032238A">
            <w:pPr>
              <w:jc w:val="both"/>
              <w:rPr>
                <w:rFonts w:cs="Arial"/>
              </w:rPr>
            </w:pPr>
            <w:r w:rsidRPr="003D3F7A">
              <w:rPr>
                <w:rFonts w:cs="Arial"/>
                <w:b/>
                <w:bCs/>
                <w:color w:val="008EC0"/>
              </w:rPr>
              <w:t>PANDEMIC AND POST-PANDEMIC TRENDS</w:t>
            </w:r>
          </w:p>
        </w:tc>
        <w:tc>
          <w:tcPr>
            <w:tcW w:w="990" w:type="dxa"/>
          </w:tcPr>
          <w:p w14:paraId="5B93BE58" w14:textId="0556F57B" w:rsidR="003F74DC" w:rsidRDefault="0060159D" w:rsidP="0032238A">
            <w:pPr>
              <w:jc w:val="right"/>
              <w:rPr>
                <w:rFonts w:cs="Arial"/>
              </w:rPr>
            </w:pPr>
            <w:r>
              <w:rPr>
                <w:rFonts w:cs="Arial"/>
              </w:rPr>
              <w:t>3</w:t>
            </w:r>
          </w:p>
        </w:tc>
      </w:tr>
      <w:tr w:rsidR="003F74DC" w14:paraId="544B906E" w14:textId="77777777" w:rsidTr="0032238A">
        <w:tc>
          <w:tcPr>
            <w:tcW w:w="6925" w:type="dxa"/>
          </w:tcPr>
          <w:p w14:paraId="0E00C115" w14:textId="462187F5" w:rsidR="003F74DC" w:rsidRDefault="00983F3B" w:rsidP="0032238A">
            <w:pPr>
              <w:jc w:val="both"/>
              <w:rPr>
                <w:rFonts w:cs="Arial"/>
              </w:rPr>
            </w:pPr>
            <w:r>
              <w:rPr>
                <w:rFonts w:cs="Arial"/>
              </w:rPr>
              <w:t xml:space="preserve">Social Security overview </w:t>
            </w:r>
          </w:p>
        </w:tc>
        <w:tc>
          <w:tcPr>
            <w:tcW w:w="990" w:type="dxa"/>
          </w:tcPr>
          <w:p w14:paraId="4DFBE9F7" w14:textId="74142E05" w:rsidR="003F74DC" w:rsidRDefault="0060159D" w:rsidP="0032238A">
            <w:pPr>
              <w:jc w:val="right"/>
              <w:rPr>
                <w:rFonts w:cs="Arial"/>
              </w:rPr>
            </w:pPr>
            <w:r>
              <w:rPr>
                <w:rFonts w:cs="Arial"/>
              </w:rPr>
              <w:t>3</w:t>
            </w:r>
          </w:p>
        </w:tc>
      </w:tr>
      <w:tr w:rsidR="003F74DC" w14:paraId="5224CE1D" w14:textId="77777777" w:rsidTr="0032238A">
        <w:tc>
          <w:tcPr>
            <w:tcW w:w="6925" w:type="dxa"/>
          </w:tcPr>
          <w:p w14:paraId="71F0B4C8" w14:textId="1F931D60" w:rsidR="003F74DC" w:rsidRDefault="00191C6A" w:rsidP="0032238A">
            <w:pPr>
              <w:jc w:val="both"/>
              <w:rPr>
                <w:rFonts w:cs="Arial"/>
              </w:rPr>
            </w:pPr>
            <w:r w:rsidRPr="00AF111D">
              <w:rPr>
                <w:rFonts w:cs="Arial"/>
              </w:rPr>
              <w:t>Coronavirus Pandemic and Later</w:t>
            </w:r>
          </w:p>
        </w:tc>
        <w:tc>
          <w:tcPr>
            <w:tcW w:w="990" w:type="dxa"/>
          </w:tcPr>
          <w:p w14:paraId="3A546148" w14:textId="45367AD0" w:rsidR="003F74DC" w:rsidRDefault="0060159D" w:rsidP="0032238A">
            <w:pPr>
              <w:jc w:val="right"/>
              <w:rPr>
                <w:rFonts w:cs="Arial"/>
              </w:rPr>
            </w:pPr>
            <w:r>
              <w:rPr>
                <w:rFonts w:cs="Arial"/>
              </w:rPr>
              <w:t>4</w:t>
            </w:r>
          </w:p>
        </w:tc>
      </w:tr>
      <w:tr w:rsidR="003F74DC" w14:paraId="67BAE57B" w14:textId="77777777" w:rsidTr="0032238A">
        <w:tc>
          <w:tcPr>
            <w:tcW w:w="6925" w:type="dxa"/>
          </w:tcPr>
          <w:p w14:paraId="690408E6" w14:textId="67742CC5" w:rsidR="003F74DC" w:rsidRPr="00EB64DD" w:rsidRDefault="00EB64DD" w:rsidP="00EB64DD">
            <w:pPr>
              <w:rPr>
                <w:rFonts w:cs="Arial"/>
                <w:color w:val="008EC0"/>
              </w:rPr>
            </w:pPr>
            <w:r w:rsidRPr="003D3F7A">
              <w:rPr>
                <w:rFonts w:cs="Arial"/>
                <w:b/>
                <w:bCs/>
                <w:color w:val="008EC0"/>
              </w:rPr>
              <w:t>LONG-TERM TREND</w:t>
            </w:r>
            <w:r w:rsidR="007B610E">
              <w:rPr>
                <w:rFonts w:cs="Arial"/>
                <w:b/>
                <w:bCs/>
                <w:color w:val="008EC0"/>
              </w:rPr>
              <w:t xml:space="preserve"> BACKGROUND FACTORS</w:t>
            </w:r>
          </w:p>
        </w:tc>
        <w:tc>
          <w:tcPr>
            <w:tcW w:w="990" w:type="dxa"/>
          </w:tcPr>
          <w:p w14:paraId="5AD63BA4" w14:textId="04A7BC22" w:rsidR="003F74DC" w:rsidRDefault="000E7368" w:rsidP="0032238A">
            <w:pPr>
              <w:jc w:val="right"/>
              <w:rPr>
                <w:rFonts w:cs="Arial"/>
              </w:rPr>
            </w:pPr>
            <w:r>
              <w:rPr>
                <w:rFonts w:cs="Arial"/>
              </w:rPr>
              <w:t>8</w:t>
            </w:r>
          </w:p>
        </w:tc>
      </w:tr>
      <w:tr w:rsidR="003F74DC" w14:paraId="184A0A3A" w14:textId="77777777" w:rsidTr="0032238A">
        <w:tc>
          <w:tcPr>
            <w:tcW w:w="6925" w:type="dxa"/>
          </w:tcPr>
          <w:p w14:paraId="080296E6" w14:textId="2D41DE2F" w:rsidR="003F74DC" w:rsidRDefault="00EB64DD" w:rsidP="0032238A">
            <w:pPr>
              <w:jc w:val="both"/>
              <w:rPr>
                <w:rFonts w:cs="Arial"/>
              </w:rPr>
            </w:pPr>
            <w:r>
              <w:rPr>
                <w:rFonts w:cs="Arial"/>
              </w:rPr>
              <w:t xml:space="preserve">Longevity </w:t>
            </w:r>
            <w:r w:rsidR="001342EA">
              <w:rPr>
                <w:rFonts w:cs="Arial"/>
              </w:rPr>
              <w:t>(life expectancy)</w:t>
            </w:r>
          </w:p>
        </w:tc>
        <w:tc>
          <w:tcPr>
            <w:tcW w:w="990" w:type="dxa"/>
          </w:tcPr>
          <w:p w14:paraId="6663A8A7" w14:textId="4C1551D8" w:rsidR="003F74DC" w:rsidRDefault="00896C35" w:rsidP="0032238A">
            <w:pPr>
              <w:jc w:val="right"/>
              <w:rPr>
                <w:rFonts w:cs="Arial"/>
              </w:rPr>
            </w:pPr>
            <w:r>
              <w:rPr>
                <w:rFonts w:cs="Arial"/>
              </w:rPr>
              <w:t>9</w:t>
            </w:r>
          </w:p>
        </w:tc>
      </w:tr>
      <w:tr w:rsidR="003F74DC" w14:paraId="148F5176" w14:textId="77777777" w:rsidTr="0032238A">
        <w:tc>
          <w:tcPr>
            <w:tcW w:w="6925" w:type="dxa"/>
          </w:tcPr>
          <w:p w14:paraId="6B771AB3" w14:textId="2FEEC883" w:rsidR="003F74DC" w:rsidRDefault="001342EA" w:rsidP="0032238A">
            <w:pPr>
              <w:jc w:val="both"/>
              <w:rPr>
                <w:rFonts w:cs="Arial"/>
              </w:rPr>
            </w:pPr>
            <w:r w:rsidRPr="001342EA">
              <w:rPr>
                <w:rFonts w:cs="Arial"/>
              </w:rPr>
              <w:t>Share of the workforce comprised of older workers</w:t>
            </w:r>
          </w:p>
        </w:tc>
        <w:tc>
          <w:tcPr>
            <w:tcW w:w="990" w:type="dxa"/>
          </w:tcPr>
          <w:p w14:paraId="534837BE" w14:textId="5EEF2FA5" w:rsidR="003F74DC" w:rsidRDefault="003571DE" w:rsidP="0032238A">
            <w:pPr>
              <w:jc w:val="right"/>
              <w:rPr>
                <w:rFonts w:cs="Arial"/>
              </w:rPr>
            </w:pPr>
            <w:r>
              <w:rPr>
                <w:rFonts w:cs="Arial"/>
              </w:rPr>
              <w:t>11</w:t>
            </w:r>
          </w:p>
        </w:tc>
      </w:tr>
      <w:tr w:rsidR="003F74DC" w14:paraId="594472A6" w14:textId="77777777" w:rsidTr="0032238A">
        <w:tc>
          <w:tcPr>
            <w:tcW w:w="6925" w:type="dxa"/>
          </w:tcPr>
          <w:p w14:paraId="5934E2C0" w14:textId="4414D3E4" w:rsidR="003F74DC" w:rsidRDefault="00681944" w:rsidP="0032238A">
            <w:pPr>
              <w:jc w:val="both"/>
              <w:rPr>
                <w:rFonts w:cs="Arial"/>
              </w:rPr>
            </w:pPr>
            <w:r w:rsidRPr="00681944">
              <w:rPr>
                <w:rFonts w:cs="Arial"/>
              </w:rPr>
              <w:t>Health and disability among older individuals</w:t>
            </w:r>
          </w:p>
        </w:tc>
        <w:tc>
          <w:tcPr>
            <w:tcW w:w="990" w:type="dxa"/>
          </w:tcPr>
          <w:p w14:paraId="5CEBB325" w14:textId="3C951328" w:rsidR="003F74DC" w:rsidRDefault="003571DE" w:rsidP="0032238A">
            <w:pPr>
              <w:jc w:val="right"/>
              <w:rPr>
                <w:rFonts w:cs="Arial"/>
              </w:rPr>
            </w:pPr>
            <w:r>
              <w:rPr>
                <w:rFonts w:cs="Arial"/>
              </w:rPr>
              <w:t>12</w:t>
            </w:r>
          </w:p>
        </w:tc>
      </w:tr>
      <w:tr w:rsidR="003F74DC" w14:paraId="40CA3A3E" w14:textId="77777777" w:rsidTr="0032238A">
        <w:tc>
          <w:tcPr>
            <w:tcW w:w="6925" w:type="dxa"/>
          </w:tcPr>
          <w:p w14:paraId="31EF2CD6" w14:textId="33069BC8" w:rsidR="003F74DC" w:rsidRDefault="00AF111D" w:rsidP="0032238A">
            <w:pPr>
              <w:jc w:val="both"/>
              <w:rPr>
                <w:rFonts w:cs="Arial"/>
              </w:rPr>
            </w:pPr>
            <w:r w:rsidRPr="00AF111D">
              <w:rPr>
                <w:rFonts w:cs="Arial"/>
              </w:rPr>
              <w:t>Old Age Insurance and disability income support programs</w:t>
            </w:r>
          </w:p>
        </w:tc>
        <w:tc>
          <w:tcPr>
            <w:tcW w:w="990" w:type="dxa"/>
          </w:tcPr>
          <w:p w14:paraId="3F97E21D" w14:textId="53340070" w:rsidR="003F74DC" w:rsidRDefault="003571DE" w:rsidP="0032238A">
            <w:pPr>
              <w:jc w:val="right"/>
              <w:rPr>
                <w:rFonts w:cs="Arial"/>
              </w:rPr>
            </w:pPr>
            <w:r>
              <w:rPr>
                <w:rFonts w:cs="Arial"/>
              </w:rPr>
              <w:t>1</w:t>
            </w:r>
            <w:r w:rsidR="008F07FE">
              <w:rPr>
                <w:rFonts w:cs="Arial"/>
              </w:rPr>
              <w:t>4</w:t>
            </w:r>
          </w:p>
        </w:tc>
      </w:tr>
      <w:tr w:rsidR="008F07FE" w14:paraId="43641792" w14:textId="77777777" w:rsidTr="0032238A">
        <w:tc>
          <w:tcPr>
            <w:tcW w:w="6925" w:type="dxa"/>
          </w:tcPr>
          <w:p w14:paraId="7555BC8F" w14:textId="4ACD549B" w:rsidR="008F07FE" w:rsidRPr="00AF111D" w:rsidRDefault="008F07FE" w:rsidP="0032238A">
            <w:pPr>
              <w:jc w:val="both"/>
              <w:rPr>
                <w:rFonts w:cs="Arial"/>
              </w:rPr>
            </w:pPr>
            <w:r w:rsidRPr="008F07FE">
              <w:rPr>
                <w:rFonts w:cs="Arial"/>
              </w:rPr>
              <w:t>Trends in receiving various types of income among older individuals</w:t>
            </w:r>
          </w:p>
        </w:tc>
        <w:tc>
          <w:tcPr>
            <w:tcW w:w="990" w:type="dxa"/>
          </w:tcPr>
          <w:p w14:paraId="752FBC9F" w14:textId="50525C1F" w:rsidR="008F07FE" w:rsidRDefault="008F07FE" w:rsidP="0032238A">
            <w:pPr>
              <w:jc w:val="right"/>
              <w:rPr>
                <w:rFonts w:cs="Arial"/>
              </w:rPr>
            </w:pPr>
            <w:r>
              <w:rPr>
                <w:rFonts w:cs="Arial"/>
              </w:rPr>
              <w:t>15</w:t>
            </w:r>
          </w:p>
        </w:tc>
      </w:tr>
      <w:tr w:rsidR="003F74DC" w14:paraId="7AC7E867" w14:textId="77777777" w:rsidTr="0032238A">
        <w:tc>
          <w:tcPr>
            <w:tcW w:w="6925" w:type="dxa"/>
          </w:tcPr>
          <w:p w14:paraId="29292FD8" w14:textId="2A137069" w:rsidR="003F74DC" w:rsidRPr="00C5494C" w:rsidRDefault="00C5494C" w:rsidP="00C5494C">
            <w:pPr>
              <w:rPr>
                <w:rFonts w:cs="Arial"/>
                <w:color w:val="008EC0"/>
              </w:rPr>
            </w:pPr>
            <w:r>
              <w:rPr>
                <w:rFonts w:cs="Arial"/>
                <w:b/>
                <w:bCs/>
                <w:color w:val="008EC0"/>
              </w:rPr>
              <w:t xml:space="preserve">EMPLOYMENT RATE </w:t>
            </w:r>
            <w:r w:rsidRPr="003D3F7A">
              <w:rPr>
                <w:rFonts w:cs="Arial"/>
                <w:b/>
                <w:bCs/>
                <w:color w:val="008EC0"/>
              </w:rPr>
              <w:t>LONG-TERM TRENDS</w:t>
            </w:r>
          </w:p>
        </w:tc>
        <w:tc>
          <w:tcPr>
            <w:tcW w:w="990" w:type="dxa"/>
          </w:tcPr>
          <w:p w14:paraId="2C1D4AB6" w14:textId="41D7FE68" w:rsidR="003F74DC" w:rsidRDefault="00E74FAD" w:rsidP="0032238A">
            <w:pPr>
              <w:jc w:val="right"/>
              <w:rPr>
                <w:rFonts w:cs="Arial"/>
              </w:rPr>
            </w:pPr>
            <w:r>
              <w:rPr>
                <w:rFonts w:cs="Arial"/>
              </w:rPr>
              <w:t>18</w:t>
            </w:r>
          </w:p>
        </w:tc>
      </w:tr>
      <w:tr w:rsidR="003F74DC" w14:paraId="31E7B81D" w14:textId="77777777" w:rsidTr="0032238A">
        <w:tc>
          <w:tcPr>
            <w:tcW w:w="6925" w:type="dxa"/>
          </w:tcPr>
          <w:p w14:paraId="622BB1C6" w14:textId="46A634A9" w:rsidR="003F74DC" w:rsidRDefault="007B610E" w:rsidP="0032238A">
            <w:pPr>
              <w:jc w:val="both"/>
              <w:rPr>
                <w:rFonts w:cs="Arial"/>
              </w:rPr>
            </w:pPr>
            <w:r w:rsidRPr="007B610E">
              <w:rPr>
                <w:rFonts w:cs="Arial"/>
              </w:rPr>
              <w:t>Work among prime-age individuals</w:t>
            </w:r>
          </w:p>
        </w:tc>
        <w:tc>
          <w:tcPr>
            <w:tcW w:w="990" w:type="dxa"/>
          </w:tcPr>
          <w:p w14:paraId="414FEA99" w14:textId="24AA4046" w:rsidR="003F74DC" w:rsidRDefault="00E74FAD" w:rsidP="0032238A">
            <w:pPr>
              <w:jc w:val="right"/>
              <w:rPr>
                <w:rFonts w:cs="Arial"/>
              </w:rPr>
            </w:pPr>
            <w:r>
              <w:rPr>
                <w:rFonts w:cs="Arial"/>
              </w:rPr>
              <w:t>18</w:t>
            </w:r>
          </w:p>
        </w:tc>
      </w:tr>
      <w:tr w:rsidR="003F74DC" w14:paraId="7F382BDE" w14:textId="77777777" w:rsidTr="0032238A">
        <w:tc>
          <w:tcPr>
            <w:tcW w:w="6925" w:type="dxa"/>
          </w:tcPr>
          <w:p w14:paraId="218F03C8" w14:textId="22A28D64" w:rsidR="003F74DC" w:rsidRDefault="007B610E" w:rsidP="0032238A">
            <w:pPr>
              <w:jc w:val="both"/>
              <w:rPr>
                <w:rFonts w:cs="Arial"/>
              </w:rPr>
            </w:pPr>
            <w:r w:rsidRPr="007B610E">
              <w:rPr>
                <w:rFonts w:cs="Arial"/>
              </w:rPr>
              <w:t>Employment rates for older Americans</w:t>
            </w:r>
          </w:p>
        </w:tc>
        <w:tc>
          <w:tcPr>
            <w:tcW w:w="990" w:type="dxa"/>
          </w:tcPr>
          <w:p w14:paraId="0690E1EE" w14:textId="7EBC24D3" w:rsidR="003F74DC" w:rsidRDefault="00E74FAD" w:rsidP="0032238A">
            <w:pPr>
              <w:jc w:val="right"/>
              <w:rPr>
                <w:rFonts w:cs="Arial"/>
              </w:rPr>
            </w:pPr>
            <w:r>
              <w:rPr>
                <w:rFonts w:cs="Arial"/>
              </w:rPr>
              <w:t>19</w:t>
            </w:r>
          </w:p>
        </w:tc>
      </w:tr>
      <w:tr w:rsidR="00A07A29" w14:paraId="19E225CD" w14:textId="77777777" w:rsidTr="0032238A">
        <w:tc>
          <w:tcPr>
            <w:tcW w:w="6925" w:type="dxa"/>
          </w:tcPr>
          <w:p w14:paraId="4BC0E5C9" w14:textId="6F795A3A" w:rsidR="00A07A29" w:rsidRPr="007B610E" w:rsidRDefault="00A07A29" w:rsidP="0032238A">
            <w:pPr>
              <w:jc w:val="both"/>
              <w:rPr>
                <w:rFonts w:cs="Arial"/>
              </w:rPr>
            </w:pPr>
            <w:r>
              <w:rPr>
                <w:rFonts w:cs="Arial"/>
              </w:rPr>
              <w:t xml:space="preserve">Men’s employment </w:t>
            </w:r>
          </w:p>
        </w:tc>
        <w:tc>
          <w:tcPr>
            <w:tcW w:w="990" w:type="dxa"/>
          </w:tcPr>
          <w:p w14:paraId="423C2EF4" w14:textId="150A922A" w:rsidR="00A07A29" w:rsidRDefault="00A07A29" w:rsidP="0032238A">
            <w:pPr>
              <w:jc w:val="right"/>
              <w:rPr>
                <w:rFonts w:cs="Arial"/>
              </w:rPr>
            </w:pPr>
            <w:r>
              <w:rPr>
                <w:rFonts w:cs="Arial"/>
              </w:rPr>
              <w:t>2</w:t>
            </w:r>
            <w:r w:rsidR="005B1DD0">
              <w:rPr>
                <w:rFonts w:cs="Arial"/>
              </w:rPr>
              <w:t>1</w:t>
            </w:r>
          </w:p>
        </w:tc>
      </w:tr>
      <w:tr w:rsidR="00A07A29" w14:paraId="3D9B2609" w14:textId="77777777" w:rsidTr="0032238A">
        <w:tc>
          <w:tcPr>
            <w:tcW w:w="6925" w:type="dxa"/>
          </w:tcPr>
          <w:p w14:paraId="54AB11DC" w14:textId="1A930627" w:rsidR="00A07A29" w:rsidRPr="007B610E" w:rsidRDefault="004503D5" w:rsidP="0032238A">
            <w:pPr>
              <w:jc w:val="both"/>
              <w:rPr>
                <w:rFonts w:cs="Arial"/>
              </w:rPr>
            </w:pPr>
            <w:r>
              <w:rPr>
                <w:rFonts w:cs="Arial"/>
              </w:rPr>
              <w:t>Women’s employment</w:t>
            </w:r>
            <w:r w:rsidR="00C30EC4">
              <w:rPr>
                <w:rFonts w:cs="Arial"/>
              </w:rPr>
              <w:t xml:space="preserve"> </w:t>
            </w:r>
            <w:r>
              <w:rPr>
                <w:rFonts w:cs="Arial"/>
              </w:rPr>
              <w:t xml:space="preserve"> </w:t>
            </w:r>
          </w:p>
        </w:tc>
        <w:tc>
          <w:tcPr>
            <w:tcW w:w="990" w:type="dxa"/>
          </w:tcPr>
          <w:p w14:paraId="41D904D5" w14:textId="0F9AD2F6" w:rsidR="00A07A29" w:rsidRDefault="004503D5" w:rsidP="0032238A">
            <w:pPr>
              <w:jc w:val="right"/>
              <w:rPr>
                <w:rFonts w:cs="Arial"/>
              </w:rPr>
            </w:pPr>
            <w:r>
              <w:rPr>
                <w:rFonts w:cs="Arial"/>
              </w:rPr>
              <w:t>2</w:t>
            </w:r>
            <w:r w:rsidR="00B03457">
              <w:rPr>
                <w:rFonts w:cs="Arial"/>
              </w:rPr>
              <w:t>2</w:t>
            </w:r>
          </w:p>
        </w:tc>
      </w:tr>
      <w:tr w:rsidR="00A07A29" w14:paraId="14C9A8C0" w14:textId="77777777" w:rsidTr="0032238A">
        <w:tc>
          <w:tcPr>
            <w:tcW w:w="6925" w:type="dxa"/>
          </w:tcPr>
          <w:p w14:paraId="2B77A761" w14:textId="660304C7" w:rsidR="00A07A29" w:rsidRPr="007B610E" w:rsidRDefault="00C3710F" w:rsidP="0032238A">
            <w:pPr>
              <w:jc w:val="both"/>
              <w:rPr>
                <w:rFonts w:cs="Arial"/>
              </w:rPr>
            </w:pPr>
            <w:r w:rsidRPr="00C3710F">
              <w:rPr>
                <w:rFonts w:cs="Arial"/>
              </w:rPr>
              <w:t>Comparing male and female trends for older individuals</w:t>
            </w:r>
          </w:p>
        </w:tc>
        <w:tc>
          <w:tcPr>
            <w:tcW w:w="990" w:type="dxa"/>
          </w:tcPr>
          <w:p w14:paraId="285D0D08" w14:textId="0776DF95" w:rsidR="00A07A29" w:rsidRDefault="00C3710F" w:rsidP="0032238A">
            <w:pPr>
              <w:jc w:val="right"/>
              <w:rPr>
                <w:rFonts w:cs="Arial"/>
              </w:rPr>
            </w:pPr>
            <w:r>
              <w:rPr>
                <w:rFonts w:cs="Arial"/>
              </w:rPr>
              <w:t>2</w:t>
            </w:r>
            <w:r w:rsidR="00745FF7">
              <w:rPr>
                <w:rFonts w:cs="Arial"/>
              </w:rPr>
              <w:t>4</w:t>
            </w:r>
          </w:p>
        </w:tc>
      </w:tr>
      <w:tr w:rsidR="007B610E" w14:paraId="757E3AA7" w14:textId="77777777" w:rsidTr="0032238A">
        <w:tc>
          <w:tcPr>
            <w:tcW w:w="6925" w:type="dxa"/>
          </w:tcPr>
          <w:p w14:paraId="21A8BDFA" w14:textId="5DAE033E" w:rsidR="007B610E" w:rsidRPr="007B610E" w:rsidRDefault="007B610E" w:rsidP="0032238A">
            <w:pPr>
              <w:jc w:val="both"/>
              <w:rPr>
                <w:rFonts w:cs="Arial"/>
              </w:rPr>
            </w:pPr>
            <w:r>
              <w:rPr>
                <w:rFonts w:cs="Arial"/>
                <w:b/>
                <w:bCs/>
                <w:color w:val="008EC0"/>
              </w:rPr>
              <w:t>INTERNATIONAL COMPARISONS</w:t>
            </w:r>
          </w:p>
        </w:tc>
        <w:tc>
          <w:tcPr>
            <w:tcW w:w="990" w:type="dxa"/>
          </w:tcPr>
          <w:p w14:paraId="618CE6C7" w14:textId="62E145DB" w:rsidR="007B610E" w:rsidRDefault="00965393" w:rsidP="0032238A">
            <w:pPr>
              <w:jc w:val="right"/>
              <w:rPr>
                <w:rFonts w:cs="Arial"/>
              </w:rPr>
            </w:pPr>
            <w:r>
              <w:rPr>
                <w:rFonts w:cs="Arial"/>
              </w:rPr>
              <w:t>27</w:t>
            </w:r>
          </w:p>
        </w:tc>
      </w:tr>
      <w:tr w:rsidR="007B610E" w14:paraId="4A152D61" w14:textId="77777777" w:rsidTr="0032238A">
        <w:tc>
          <w:tcPr>
            <w:tcW w:w="6925" w:type="dxa"/>
          </w:tcPr>
          <w:p w14:paraId="791CE307" w14:textId="009EFD18" w:rsidR="007B610E" w:rsidRPr="007B610E" w:rsidRDefault="007B610E" w:rsidP="0032238A">
            <w:pPr>
              <w:jc w:val="both"/>
              <w:rPr>
                <w:rFonts w:cs="Arial"/>
              </w:rPr>
            </w:pPr>
            <w:r w:rsidRPr="007B610E">
              <w:rPr>
                <w:rFonts w:cs="Arial"/>
              </w:rPr>
              <w:t>Employment rates for the prime working-age population</w:t>
            </w:r>
          </w:p>
        </w:tc>
        <w:tc>
          <w:tcPr>
            <w:tcW w:w="990" w:type="dxa"/>
          </w:tcPr>
          <w:p w14:paraId="643E6E2A" w14:textId="4DDF3DE0" w:rsidR="007B610E" w:rsidRDefault="00965393" w:rsidP="0032238A">
            <w:pPr>
              <w:jc w:val="right"/>
              <w:rPr>
                <w:rFonts w:cs="Arial"/>
              </w:rPr>
            </w:pPr>
            <w:r>
              <w:rPr>
                <w:rFonts w:cs="Arial"/>
              </w:rPr>
              <w:t>2</w:t>
            </w:r>
            <w:r w:rsidR="00B22D1B">
              <w:rPr>
                <w:rFonts w:cs="Arial"/>
              </w:rPr>
              <w:t>7</w:t>
            </w:r>
          </w:p>
        </w:tc>
      </w:tr>
      <w:tr w:rsidR="007B610E" w14:paraId="38422C65" w14:textId="77777777" w:rsidTr="0032238A">
        <w:tc>
          <w:tcPr>
            <w:tcW w:w="6925" w:type="dxa"/>
          </w:tcPr>
          <w:p w14:paraId="6C19BC90" w14:textId="0AA4D236" w:rsidR="007B610E" w:rsidRPr="007B610E" w:rsidRDefault="007B610E" w:rsidP="0032238A">
            <w:pPr>
              <w:jc w:val="both"/>
              <w:rPr>
                <w:rFonts w:cs="Arial"/>
              </w:rPr>
            </w:pPr>
            <w:r w:rsidRPr="007B610E">
              <w:rPr>
                <w:rFonts w:cs="Arial"/>
              </w:rPr>
              <w:t>Employment in the approximate pre-retirement years of 55 to 64</w:t>
            </w:r>
          </w:p>
        </w:tc>
        <w:tc>
          <w:tcPr>
            <w:tcW w:w="990" w:type="dxa"/>
          </w:tcPr>
          <w:p w14:paraId="3263C325" w14:textId="661F8E46" w:rsidR="007B610E" w:rsidRDefault="00965393" w:rsidP="0032238A">
            <w:pPr>
              <w:jc w:val="right"/>
              <w:rPr>
                <w:rFonts w:cs="Arial"/>
              </w:rPr>
            </w:pPr>
            <w:r>
              <w:rPr>
                <w:rFonts w:cs="Arial"/>
              </w:rPr>
              <w:t>28</w:t>
            </w:r>
          </w:p>
        </w:tc>
      </w:tr>
      <w:tr w:rsidR="007B610E" w14:paraId="54517099" w14:textId="77777777" w:rsidTr="0032238A">
        <w:tc>
          <w:tcPr>
            <w:tcW w:w="6925" w:type="dxa"/>
          </w:tcPr>
          <w:p w14:paraId="61A370A0" w14:textId="1D4CD90C" w:rsidR="007B610E" w:rsidRPr="007B610E" w:rsidRDefault="007B610E" w:rsidP="0032238A">
            <w:pPr>
              <w:jc w:val="both"/>
              <w:rPr>
                <w:rFonts w:cs="Arial"/>
              </w:rPr>
            </w:pPr>
            <w:r w:rsidRPr="007B610E">
              <w:rPr>
                <w:rFonts w:cs="Arial"/>
              </w:rPr>
              <w:t>Employment rates among the elderly</w:t>
            </w:r>
          </w:p>
        </w:tc>
        <w:tc>
          <w:tcPr>
            <w:tcW w:w="990" w:type="dxa"/>
          </w:tcPr>
          <w:p w14:paraId="56249413" w14:textId="57AAAFA2" w:rsidR="007B610E" w:rsidRDefault="00965393" w:rsidP="0032238A">
            <w:pPr>
              <w:jc w:val="right"/>
              <w:rPr>
                <w:rFonts w:cs="Arial"/>
              </w:rPr>
            </w:pPr>
            <w:r>
              <w:rPr>
                <w:rFonts w:cs="Arial"/>
              </w:rPr>
              <w:t>29</w:t>
            </w:r>
          </w:p>
        </w:tc>
      </w:tr>
    </w:tbl>
    <w:p w14:paraId="11DD065D" w14:textId="77777777" w:rsidR="006C7892" w:rsidRPr="003D3F7A" w:rsidRDefault="006C7892">
      <w:pPr>
        <w:rPr>
          <w:rFonts w:cs="Arial"/>
        </w:rPr>
      </w:pPr>
    </w:p>
    <w:p w14:paraId="08056FDF" w14:textId="77777777" w:rsidR="002D31C5" w:rsidRDefault="002D31C5">
      <w:pPr>
        <w:rPr>
          <w:rFonts w:cs="Arial"/>
          <w:b/>
          <w:bCs/>
          <w:color w:val="008EC0"/>
        </w:rPr>
      </w:pPr>
    </w:p>
    <w:p w14:paraId="3AAA68A8" w14:textId="0FDF63D4" w:rsidR="00B20EE3" w:rsidRPr="003D3F7A" w:rsidRDefault="00437B3E">
      <w:pPr>
        <w:rPr>
          <w:rFonts w:cs="Arial"/>
          <w:color w:val="008EC0"/>
        </w:rPr>
      </w:pPr>
      <w:r w:rsidRPr="003D3F7A">
        <w:rPr>
          <w:rFonts w:cs="Arial"/>
          <w:b/>
          <w:bCs/>
          <w:color w:val="008EC0"/>
        </w:rPr>
        <w:t>PANDEMIC AND POST-PANDEMIC TRENDS</w:t>
      </w:r>
    </w:p>
    <w:p w14:paraId="73ADC668" w14:textId="77777777" w:rsidR="00B27546" w:rsidRPr="003D3F7A" w:rsidRDefault="00B27546">
      <w:pPr>
        <w:rPr>
          <w:rFonts w:cs="Arial"/>
        </w:rPr>
      </w:pPr>
    </w:p>
    <w:p w14:paraId="0B1D7A2A" w14:textId="2D400301" w:rsidR="00B27546" w:rsidRPr="003D3F7A" w:rsidRDefault="007B4662">
      <w:pPr>
        <w:rPr>
          <w:rFonts w:cs="Arial"/>
        </w:rPr>
      </w:pPr>
      <w:r w:rsidRPr="003D3F7A">
        <w:rPr>
          <w:rFonts w:cs="Arial"/>
        </w:rPr>
        <w:t>Because the pandemic impact is probably o</w:t>
      </w:r>
      <w:r w:rsidR="00D5005A" w:rsidRPr="003D3F7A">
        <w:rPr>
          <w:rFonts w:cs="Arial"/>
        </w:rPr>
        <w:t xml:space="preserve">f the greatest importance to observers, I begin with the recent rather than the long-term trends.  </w:t>
      </w:r>
      <w:r w:rsidR="000A4A66" w:rsidRPr="003D3F7A">
        <w:rPr>
          <w:rFonts w:cs="Arial"/>
        </w:rPr>
        <w:t xml:space="preserve">Work among older individuals is strongly influenced by </w:t>
      </w:r>
      <w:r w:rsidR="00D459CE" w:rsidRPr="003D3F7A">
        <w:rPr>
          <w:rFonts w:cs="Arial"/>
        </w:rPr>
        <w:t xml:space="preserve">the availability of Social Security, so we begin below </w:t>
      </w:r>
      <w:r w:rsidR="00721C23" w:rsidRPr="003D3F7A">
        <w:rPr>
          <w:rFonts w:cs="Arial"/>
        </w:rPr>
        <w:t>with</w:t>
      </w:r>
      <w:r w:rsidR="00D459CE" w:rsidRPr="003D3F7A">
        <w:rPr>
          <w:rFonts w:cs="Arial"/>
        </w:rPr>
        <w:t xml:space="preserve"> a basic explanation o</w:t>
      </w:r>
      <w:r w:rsidR="0055131F" w:rsidRPr="003D3F7A">
        <w:rPr>
          <w:rFonts w:cs="Arial"/>
        </w:rPr>
        <w:t xml:space="preserve">f some Social Security </w:t>
      </w:r>
      <w:r w:rsidR="00721C23" w:rsidRPr="003D3F7A">
        <w:rPr>
          <w:rFonts w:cs="Arial"/>
        </w:rPr>
        <w:t xml:space="preserve">programs and </w:t>
      </w:r>
      <w:r w:rsidR="0055131F" w:rsidRPr="003D3F7A">
        <w:rPr>
          <w:rFonts w:cs="Arial"/>
        </w:rPr>
        <w:t>polic</w:t>
      </w:r>
      <w:r w:rsidR="00721C23" w:rsidRPr="003D3F7A">
        <w:rPr>
          <w:rFonts w:cs="Arial"/>
        </w:rPr>
        <w:t>ies</w:t>
      </w:r>
      <w:r w:rsidR="0055131F" w:rsidRPr="003D3F7A">
        <w:rPr>
          <w:rFonts w:cs="Arial"/>
        </w:rPr>
        <w:t xml:space="preserve">.  </w:t>
      </w:r>
    </w:p>
    <w:p w14:paraId="414F46B7" w14:textId="63C3E37A" w:rsidR="00A95690" w:rsidRPr="003D3F7A" w:rsidRDefault="00A95690">
      <w:pPr>
        <w:rPr>
          <w:rFonts w:cs="Arial"/>
        </w:rPr>
      </w:pPr>
    </w:p>
    <w:p w14:paraId="67173171" w14:textId="0D8BE390" w:rsidR="007820E0" w:rsidRPr="003D3F7A" w:rsidRDefault="005D4DEE">
      <w:pPr>
        <w:rPr>
          <w:rFonts w:cs="Arial"/>
        </w:rPr>
      </w:pPr>
      <w:r w:rsidRPr="003D3F7A">
        <w:rPr>
          <w:rFonts w:cs="Arial"/>
          <w:b/>
          <w:bCs/>
        </w:rPr>
        <w:t>Social Security</w:t>
      </w:r>
      <w:r w:rsidRPr="003D3F7A">
        <w:rPr>
          <w:rFonts w:cs="Arial"/>
        </w:rPr>
        <w:t xml:space="preserve"> is the most </w:t>
      </w:r>
      <w:r w:rsidR="00627FC2" w:rsidRPr="003D3F7A">
        <w:rPr>
          <w:rFonts w:cs="Arial"/>
        </w:rPr>
        <w:t>extensive social program in America</w:t>
      </w:r>
      <w:r w:rsidR="00EE0255" w:rsidRPr="003D3F7A">
        <w:rPr>
          <w:rFonts w:cs="Arial"/>
        </w:rPr>
        <w:t xml:space="preserve">, including the </w:t>
      </w:r>
      <w:r w:rsidR="00E36C8C" w:rsidRPr="003D3F7A">
        <w:rPr>
          <w:rFonts w:cs="Arial"/>
        </w:rPr>
        <w:t xml:space="preserve">size of the beneficiary population.  </w:t>
      </w:r>
      <w:r w:rsidR="00A05FC2" w:rsidRPr="003D3F7A">
        <w:rPr>
          <w:rFonts w:cs="Arial"/>
        </w:rPr>
        <w:t>When people refer to Social Security, they generally mean</w:t>
      </w:r>
      <w:r w:rsidR="00E36C8C" w:rsidRPr="003D3F7A">
        <w:rPr>
          <w:rFonts w:cs="Arial"/>
        </w:rPr>
        <w:t xml:space="preserve"> </w:t>
      </w:r>
      <w:r w:rsidR="007820E0" w:rsidRPr="003D3F7A">
        <w:rPr>
          <w:rFonts w:cs="Arial"/>
        </w:rPr>
        <w:t>Old Age Insurance</w:t>
      </w:r>
      <w:r w:rsidR="003A59C9" w:rsidRPr="003D3F7A">
        <w:rPr>
          <w:rFonts w:cs="Arial"/>
        </w:rPr>
        <w:t>, which is the primary retirement</w:t>
      </w:r>
      <w:r w:rsidR="007820E0" w:rsidRPr="003D3F7A">
        <w:rPr>
          <w:rFonts w:cs="Arial"/>
        </w:rPr>
        <w:t xml:space="preserve"> </w:t>
      </w:r>
      <w:r w:rsidR="00FD3413" w:rsidRPr="003D3F7A">
        <w:rPr>
          <w:rFonts w:cs="Arial"/>
        </w:rPr>
        <w:t>program</w:t>
      </w:r>
      <w:r w:rsidR="003A59C9" w:rsidRPr="003D3F7A">
        <w:rPr>
          <w:rFonts w:cs="Arial"/>
        </w:rPr>
        <w:t xml:space="preserve">.  However, </w:t>
      </w:r>
      <w:r w:rsidR="00FD3413" w:rsidRPr="003D3F7A">
        <w:rPr>
          <w:rFonts w:cs="Arial"/>
        </w:rPr>
        <w:t xml:space="preserve">there are many </w:t>
      </w:r>
      <w:r w:rsidR="003A59C9" w:rsidRPr="003D3F7A">
        <w:rPr>
          <w:rFonts w:cs="Arial"/>
        </w:rPr>
        <w:t xml:space="preserve">other </w:t>
      </w:r>
      <w:r w:rsidR="00FD3413" w:rsidRPr="003D3F7A">
        <w:rPr>
          <w:rFonts w:cs="Arial"/>
        </w:rPr>
        <w:t>Social Security programs, including Disability Insurance and Supplemental Security Income (SSI)</w:t>
      </w:r>
      <w:r w:rsidR="002022C9" w:rsidRPr="003D3F7A">
        <w:rPr>
          <w:rFonts w:cs="Arial"/>
        </w:rPr>
        <w:t xml:space="preserve">, which some individuals effectively use as retirement programs until they become available for Old Age Insurance.  In fact, some Social Security </w:t>
      </w:r>
      <w:r w:rsidR="00F93F8D" w:rsidRPr="003D3F7A">
        <w:rPr>
          <w:rFonts w:cs="Arial"/>
        </w:rPr>
        <w:t>beneficiaries are children, as the program also provides benefits to orphans</w:t>
      </w:r>
      <w:r w:rsidR="009B480D" w:rsidRPr="003D3F7A">
        <w:rPr>
          <w:rFonts w:cs="Arial"/>
        </w:rPr>
        <w:t xml:space="preserve">.  </w:t>
      </w:r>
    </w:p>
    <w:p w14:paraId="532AC1D7" w14:textId="77777777" w:rsidR="009B480D" w:rsidRPr="003D3F7A" w:rsidRDefault="009B480D">
      <w:pPr>
        <w:rPr>
          <w:rFonts w:cs="Arial"/>
        </w:rPr>
      </w:pPr>
    </w:p>
    <w:p w14:paraId="3DB80D7B" w14:textId="02D05420" w:rsidR="00E94327" w:rsidRPr="003D3F7A" w:rsidRDefault="009B480D">
      <w:pPr>
        <w:rPr>
          <w:rFonts w:cs="Arial"/>
        </w:rPr>
      </w:pPr>
      <w:r w:rsidRPr="003D3F7A">
        <w:rPr>
          <w:rFonts w:cs="Arial"/>
        </w:rPr>
        <w:t xml:space="preserve">Currently, </w:t>
      </w:r>
      <w:r w:rsidR="000A4A66" w:rsidRPr="003D3F7A">
        <w:rPr>
          <w:rFonts w:cs="Arial"/>
        </w:rPr>
        <w:t xml:space="preserve">age 62 is the youngest that one can obtain Old Age </w:t>
      </w:r>
      <w:r w:rsidR="009C1DBC" w:rsidRPr="003D3F7A">
        <w:rPr>
          <w:rFonts w:cs="Arial"/>
        </w:rPr>
        <w:t>Insurance</w:t>
      </w:r>
      <w:r w:rsidR="000C7770">
        <w:rPr>
          <w:rFonts w:cs="Arial"/>
        </w:rPr>
        <w:t xml:space="preserve"> through one’s own employment history</w:t>
      </w:r>
      <w:r w:rsidR="009C1DBC" w:rsidRPr="003D3F7A">
        <w:rPr>
          <w:rFonts w:cs="Arial"/>
        </w:rPr>
        <w:t>.</w:t>
      </w:r>
      <w:r w:rsidR="00E833C1" w:rsidRPr="003D3F7A">
        <w:rPr>
          <w:rFonts w:cs="Arial"/>
        </w:rPr>
        <w:t xml:space="preserve"> </w:t>
      </w:r>
      <w:r w:rsidR="00530540" w:rsidRPr="003D3F7A">
        <w:rPr>
          <w:rFonts w:cs="Arial"/>
        </w:rPr>
        <w:t>However, it should be kept in mind that many people ret</w:t>
      </w:r>
      <w:r w:rsidR="00777C56" w:rsidRPr="003D3F7A">
        <w:rPr>
          <w:rFonts w:cs="Arial"/>
        </w:rPr>
        <w:t>ire before 62, typically because they believe that they cannot continue to work due to health or disability problems.</w:t>
      </w:r>
      <w:r w:rsidR="00777C56" w:rsidRPr="003D3F7A">
        <w:rPr>
          <w:rStyle w:val="FootnoteReference"/>
          <w:rFonts w:cs="Arial"/>
        </w:rPr>
        <w:footnoteReference w:id="3"/>
      </w:r>
      <w:r w:rsidR="00CE2F5C" w:rsidRPr="003D3F7A">
        <w:rPr>
          <w:rFonts w:cs="Arial"/>
        </w:rPr>
        <w:t xml:space="preserve"> </w:t>
      </w:r>
      <w:r w:rsidR="005C1CFE" w:rsidRPr="003D3F7A">
        <w:rPr>
          <w:rFonts w:cs="Arial"/>
        </w:rPr>
        <w:t xml:space="preserve"> Therefore some individuals </w:t>
      </w:r>
      <w:r w:rsidR="00302993" w:rsidRPr="003D3F7A">
        <w:rPr>
          <w:rFonts w:cs="Arial"/>
        </w:rPr>
        <w:t xml:space="preserve">who believe they can’t continue to work before </w:t>
      </w:r>
      <w:r w:rsidR="00587D59">
        <w:rPr>
          <w:rFonts w:cs="Arial"/>
        </w:rPr>
        <w:t xml:space="preserve">reaching </w:t>
      </w:r>
      <w:r w:rsidR="00302993" w:rsidRPr="003D3F7A">
        <w:rPr>
          <w:rFonts w:cs="Arial"/>
        </w:rPr>
        <w:t xml:space="preserve">age 62 </w:t>
      </w:r>
      <w:r w:rsidR="005C1CFE" w:rsidRPr="003D3F7A">
        <w:rPr>
          <w:rFonts w:cs="Arial"/>
        </w:rPr>
        <w:t xml:space="preserve">use Disability Insurance or SSI </w:t>
      </w:r>
      <w:r w:rsidR="00302993" w:rsidRPr="003D3F7A">
        <w:rPr>
          <w:rFonts w:cs="Arial"/>
        </w:rPr>
        <w:t>for income support</w:t>
      </w:r>
      <w:r w:rsidR="004D7E96" w:rsidRPr="003D3F7A">
        <w:rPr>
          <w:rFonts w:cs="Arial"/>
        </w:rPr>
        <w:t xml:space="preserve">:  </w:t>
      </w:r>
      <w:r w:rsidR="00561C8F" w:rsidRPr="003D3F7A">
        <w:rPr>
          <w:rFonts w:cs="Arial"/>
        </w:rPr>
        <w:t xml:space="preserve">SSI </w:t>
      </w:r>
      <w:r w:rsidR="00604580" w:rsidRPr="003D3F7A">
        <w:rPr>
          <w:rFonts w:cs="Arial"/>
        </w:rPr>
        <w:t>includes a disability component</w:t>
      </w:r>
      <w:r w:rsidR="00561C8F" w:rsidRPr="003D3F7A">
        <w:rPr>
          <w:rFonts w:cs="Arial"/>
        </w:rPr>
        <w:t>.</w:t>
      </w:r>
      <w:r w:rsidR="00777DA9" w:rsidRPr="003D3F7A">
        <w:rPr>
          <w:rFonts w:cs="Arial"/>
        </w:rPr>
        <w:t xml:space="preserve">  There are generally no </w:t>
      </w:r>
      <w:r w:rsidR="002A01B8" w:rsidRPr="003D3F7A">
        <w:rPr>
          <w:rFonts w:cs="Arial"/>
        </w:rPr>
        <w:t xml:space="preserve">age eligibility restrictions for Disability Insurance and SSI, although the former </w:t>
      </w:r>
      <w:r w:rsidR="00D14F20" w:rsidRPr="003D3F7A">
        <w:rPr>
          <w:rFonts w:cs="Arial"/>
        </w:rPr>
        <w:t xml:space="preserve">generally requires some work history, and a determination that the individual is generally no longer </w:t>
      </w:r>
      <w:r w:rsidR="0057529C" w:rsidRPr="003D3F7A">
        <w:rPr>
          <w:rFonts w:cs="Arial"/>
        </w:rPr>
        <w:t xml:space="preserve">capable of working.  </w:t>
      </w:r>
      <w:r w:rsidR="002A01B8" w:rsidRPr="003D3F7A">
        <w:rPr>
          <w:rFonts w:cs="Arial"/>
        </w:rPr>
        <w:t xml:space="preserve"> </w:t>
      </w:r>
    </w:p>
    <w:p w14:paraId="2163A4B8" w14:textId="77777777" w:rsidR="00E94327" w:rsidRPr="003D3F7A" w:rsidRDefault="00E94327">
      <w:pPr>
        <w:rPr>
          <w:rFonts w:cs="Arial"/>
        </w:rPr>
      </w:pPr>
    </w:p>
    <w:p w14:paraId="06EE2E0C" w14:textId="5BA45282" w:rsidR="009B480D" w:rsidRPr="003D3F7A" w:rsidRDefault="00E94327">
      <w:pPr>
        <w:rPr>
          <w:rFonts w:cs="Arial"/>
        </w:rPr>
      </w:pPr>
      <w:r w:rsidRPr="003D3F7A">
        <w:rPr>
          <w:rFonts w:cs="Arial"/>
        </w:rPr>
        <w:t xml:space="preserve">Old Age Insurance </w:t>
      </w:r>
      <w:r w:rsidR="00B9327F" w:rsidRPr="003D3F7A">
        <w:rPr>
          <w:rFonts w:cs="Arial"/>
        </w:rPr>
        <w:t xml:space="preserve">establishes </w:t>
      </w:r>
      <w:r w:rsidR="00613D91" w:rsidRPr="003D3F7A">
        <w:rPr>
          <w:rFonts w:cs="Arial"/>
        </w:rPr>
        <w:t xml:space="preserve">age 67 as the “normal” retirement age </w:t>
      </w:r>
      <w:r w:rsidR="001D2074" w:rsidRPr="003D3F7A">
        <w:rPr>
          <w:rFonts w:cs="Arial"/>
        </w:rPr>
        <w:t xml:space="preserve">-- </w:t>
      </w:r>
      <w:r w:rsidR="00613D91" w:rsidRPr="003D3F7A">
        <w:rPr>
          <w:rFonts w:cs="Arial"/>
        </w:rPr>
        <w:t>normal only in the sense that retirement before that age</w:t>
      </w:r>
      <w:r w:rsidR="001D2074" w:rsidRPr="003D3F7A">
        <w:rPr>
          <w:rFonts w:cs="Arial"/>
        </w:rPr>
        <w:t xml:space="preserve"> reduces the benefit </w:t>
      </w:r>
      <w:r w:rsidR="009D3899" w:rsidRPr="003D3F7A">
        <w:rPr>
          <w:rFonts w:cs="Arial"/>
        </w:rPr>
        <w:t xml:space="preserve">payment.  The normal retirement </w:t>
      </w:r>
      <w:r w:rsidR="006402C0" w:rsidRPr="003D3F7A">
        <w:rPr>
          <w:rFonts w:cs="Arial"/>
        </w:rPr>
        <w:t xml:space="preserve">age </w:t>
      </w:r>
      <w:r w:rsidR="009D3899" w:rsidRPr="003D3F7A">
        <w:rPr>
          <w:rFonts w:cs="Arial"/>
        </w:rPr>
        <w:t xml:space="preserve">was </w:t>
      </w:r>
      <w:r w:rsidR="006402C0" w:rsidRPr="003D3F7A">
        <w:rPr>
          <w:rFonts w:cs="Arial"/>
        </w:rPr>
        <w:t>formerly</w:t>
      </w:r>
      <w:r w:rsidR="009D3899" w:rsidRPr="003D3F7A">
        <w:rPr>
          <w:rFonts w:cs="Arial"/>
        </w:rPr>
        <w:t xml:space="preserve"> </w:t>
      </w:r>
      <w:r w:rsidR="006402C0" w:rsidRPr="003D3F7A">
        <w:rPr>
          <w:rFonts w:cs="Arial"/>
        </w:rPr>
        <w:t>65, but in 198</w:t>
      </w:r>
      <w:r w:rsidR="007955C7">
        <w:rPr>
          <w:rFonts w:cs="Arial"/>
        </w:rPr>
        <w:t>3</w:t>
      </w:r>
      <w:r w:rsidR="006402C0" w:rsidRPr="003D3F7A">
        <w:rPr>
          <w:rFonts w:cs="Arial"/>
        </w:rPr>
        <w:t xml:space="preserve"> Congress raised the retirement age to 67, </w:t>
      </w:r>
      <w:r w:rsidR="00FB31ED" w:rsidRPr="003D3F7A">
        <w:rPr>
          <w:rFonts w:cs="Arial"/>
        </w:rPr>
        <w:t xml:space="preserve">although </w:t>
      </w:r>
      <w:r w:rsidR="003005A4">
        <w:rPr>
          <w:rFonts w:cs="Arial"/>
        </w:rPr>
        <w:t>implementation didn’t begin</w:t>
      </w:r>
      <w:r w:rsidR="00FB31ED" w:rsidRPr="003D3F7A">
        <w:rPr>
          <w:rFonts w:cs="Arial"/>
        </w:rPr>
        <w:t xml:space="preserve"> until </w:t>
      </w:r>
      <w:r w:rsidR="003005A4">
        <w:rPr>
          <w:rFonts w:cs="Arial"/>
        </w:rPr>
        <w:t>two decades</w:t>
      </w:r>
      <w:r w:rsidR="00FB31ED" w:rsidRPr="003D3F7A">
        <w:rPr>
          <w:rFonts w:cs="Arial"/>
        </w:rPr>
        <w:t xml:space="preserve"> later, </w:t>
      </w:r>
      <w:r w:rsidR="00C80466">
        <w:rPr>
          <w:rFonts w:cs="Arial"/>
        </w:rPr>
        <w:t>is being phased in over nearly a quarter century</w:t>
      </w:r>
      <w:r w:rsidR="009C4B6D" w:rsidRPr="003D3F7A">
        <w:rPr>
          <w:rFonts w:cs="Arial"/>
        </w:rPr>
        <w:t xml:space="preserve">, </w:t>
      </w:r>
      <w:r w:rsidR="00C80466">
        <w:rPr>
          <w:rFonts w:cs="Arial"/>
        </w:rPr>
        <w:t>and won’t be complete until 2027</w:t>
      </w:r>
      <w:r w:rsidR="009C4B6D" w:rsidRPr="003D3F7A">
        <w:rPr>
          <w:rFonts w:cs="Arial"/>
        </w:rPr>
        <w:t xml:space="preserve">.  </w:t>
      </w:r>
      <w:r w:rsidR="009F34AA" w:rsidRPr="003D3F7A">
        <w:rPr>
          <w:rFonts w:cs="Arial"/>
        </w:rPr>
        <w:t xml:space="preserve">The raising of the retirement age is an important reason why individuals in their </w:t>
      </w:r>
      <w:r w:rsidR="00DB0B47" w:rsidRPr="003D3F7A">
        <w:rPr>
          <w:rFonts w:cs="Arial"/>
        </w:rPr>
        <w:t>sixties began to work later in life, beginning in the 1990s</w:t>
      </w:r>
      <w:r w:rsidR="00193DAA" w:rsidRPr="003D3F7A">
        <w:rPr>
          <w:rFonts w:cs="Arial"/>
        </w:rPr>
        <w:t xml:space="preserve">.  </w:t>
      </w:r>
    </w:p>
    <w:p w14:paraId="39F7AB79" w14:textId="77777777" w:rsidR="00193DAA" w:rsidRPr="003D3F7A" w:rsidRDefault="00193DAA">
      <w:pPr>
        <w:rPr>
          <w:rFonts w:cs="Arial"/>
        </w:rPr>
      </w:pPr>
    </w:p>
    <w:p w14:paraId="15D4F9B7" w14:textId="5E43B048" w:rsidR="00437B3E" w:rsidRPr="003D3F7A" w:rsidRDefault="00193DAA">
      <w:pPr>
        <w:rPr>
          <w:rFonts w:cs="Arial"/>
        </w:rPr>
      </w:pPr>
      <w:r w:rsidRPr="003D3F7A">
        <w:rPr>
          <w:rFonts w:cs="Arial"/>
        </w:rPr>
        <w:t>Conversely, individuals who retire</w:t>
      </w:r>
      <w:r w:rsidR="00B2130C" w:rsidRPr="003D3F7A">
        <w:rPr>
          <w:rFonts w:cs="Arial"/>
        </w:rPr>
        <w:t xml:space="preserve"> </w:t>
      </w:r>
      <w:r w:rsidR="00B2130C" w:rsidRPr="003D3F7A">
        <w:rPr>
          <w:rFonts w:cs="Arial"/>
          <w:i/>
          <w:iCs/>
        </w:rPr>
        <w:t>after</w:t>
      </w:r>
      <w:r w:rsidR="00B2130C" w:rsidRPr="003D3F7A">
        <w:rPr>
          <w:rFonts w:cs="Arial"/>
        </w:rPr>
        <w:t xml:space="preserve"> age 67 (retire in the sense of applying for Old Age Insurance) obtain a higher benefit </w:t>
      </w:r>
      <w:r w:rsidR="00906EE9" w:rsidRPr="003D3F7A">
        <w:rPr>
          <w:rFonts w:cs="Arial"/>
        </w:rPr>
        <w:t xml:space="preserve">payment, although </w:t>
      </w:r>
      <w:r w:rsidR="007E166E">
        <w:rPr>
          <w:rFonts w:cs="Arial"/>
        </w:rPr>
        <w:t>no additional</w:t>
      </w:r>
      <w:r w:rsidR="00906EE9" w:rsidRPr="003D3F7A">
        <w:rPr>
          <w:rFonts w:cs="Arial"/>
        </w:rPr>
        <w:t xml:space="preserve"> bonus </w:t>
      </w:r>
      <w:r w:rsidR="007E166E">
        <w:rPr>
          <w:rFonts w:cs="Arial"/>
        </w:rPr>
        <w:t>is given</w:t>
      </w:r>
      <w:r w:rsidR="00906EE9" w:rsidRPr="003D3F7A">
        <w:rPr>
          <w:rFonts w:cs="Arial"/>
        </w:rPr>
        <w:t xml:space="preserve"> for those who retire after age 72. </w:t>
      </w:r>
    </w:p>
    <w:p w14:paraId="15E0FBDE" w14:textId="77777777" w:rsidR="00437B3E" w:rsidRPr="003D3F7A" w:rsidRDefault="00437B3E">
      <w:pPr>
        <w:rPr>
          <w:rFonts w:cs="Arial"/>
        </w:rPr>
      </w:pPr>
    </w:p>
    <w:p w14:paraId="0C9392BA" w14:textId="77777777" w:rsidR="00FE62F4" w:rsidRPr="003D3F7A" w:rsidRDefault="00FE62F4">
      <w:pPr>
        <w:rPr>
          <w:rFonts w:cs="Arial"/>
          <w:color w:val="00B050"/>
        </w:rPr>
      </w:pPr>
      <w:r w:rsidRPr="003D3F7A">
        <w:rPr>
          <w:rFonts w:cs="Arial"/>
          <w:b/>
          <w:bCs/>
          <w:color w:val="00B050"/>
        </w:rPr>
        <w:t>The Coronavirus Pandemic and Later</w:t>
      </w:r>
    </w:p>
    <w:p w14:paraId="41C0EA73" w14:textId="77777777" w:rsidR="00FE62F4" w:rsidRPr="003D3F7A" w:rsidRDefault="00FE62F4">
      <w:pPr>
        <w:rPr>
          <w:rFonts w:cs="Arial"/>
        </w:rPr>
      </w:pPr>
    </w:p>
    <w:p w14:paraId="664A146F" w14:textId="7CA493E1" w:rsidR="00051CFD" w:rsidRPr="003D3F7A" w:rsidRDefault="00F43236">
      <w:pPr>
        <w:rPr>
          <w:rFonts w:cs="Arial"/>
        </w:rPr>
      </w:pPr>
      <w:r w:rsidRPr="003D3F7A">
        <w:rPr>
          <w:rFonts w:cs="Arial"/>
        </w:rPr>
        <w:t xml:space="preserve">The pandemic, which was widely recognized as a worldwide disaster by the public in March </w:t>
      </w:r>
      <w:r w:rsidR="00D817ED" w:rsidRPr="003D3F7A">
        <w:rPr>
          <w:rFonts w:cs="Arial"/>
        </w:rPr>
        <w:t xml:space="preserve">2020, </w:t>
      </w:r>
      <w:r w:rsidR="00F17347">
        <w:rPr>
          <w:rFonts w:cs="Arial"/>
        </w:rPr>
        <w:t>has had so</w:t>
      </w:r>
      <w:r w:rsidR="00C1362E">
        <w:rPr>
          <w:rFonts w:cs="Arial"/>
        </w:rPr>
        <w:t>me major effects on</w:t>
      </w:r>
      <w:r w:rsidR="00405B80" w:rsidRPr="003D3F7A">
        <w:rPr>
          <w:rFonts w:cs="Arial"/>
        </w:rPr>
        <w:t xml:space="preserve"> work behavior</w:t>
      </w:r>
      <w:r w:rsidR="00C1362E">
        <w:rPr>
          <w:rFonts w:cs="Arial"/>
        </w:rPr>
        <w:t xml:space="preserve"> among older as well as younger individuals</w:t>
      </w:r>
      <w:r w:rsidR="00405B80" w:rsidRPr="003D3F7A">
        <w:rPr>
          <w:rFonts w:cs="Arial"/>
        </w:rPr>
        <w:t xml:space="preserve">.  </w:t>
      </w:r>
      <w:r w:rsidR="00AC7CBE" w:rsidRPr="003D3F7A">
        <w:rPr>
          <w:rFonts w:cs="Arial"/>
        </w:rPr>
        <w:t xml:space="preserve">Except among those who could telework, working typically meant interacting with </w:t>
      </w:r>
      <w:r w:rsidR="0067677A" w:rsidRPr="003D3F7A">
        <w:rPr>
          <w:rFonts w:cs="Arial"/>
        </w:rPr>
        <w:t xml:space="preserve">others, which was the major means by which the disease spread.  Moreover, </w:t>
      </w:r>
      <w:r w:rsidR="0067677A" w:rsidRPr="00B75BDC">
        <w:rPr>
          <w:rFonts w:cs="Arial"/>
          <w:b/>
          <w:bCs/>
          <w:color w:val="7030A0"/>
        </w:rPr>
        <w:t xml:space="preserve">coronavirus </w:t>
      </w:r>
      <w:r w:rsidR="00F54388" w:rsidRPr="00B75BDC">
        <w:rPr>
          <w:rFonts w:cs="Arial"/>
          <w:b/>
          <w:bCs/>
          <w:color w:val="7030A0"/>
        </w:rPr>
        <w:t>was much more disabling and deadly among older individuals, which meant that thos</w:t>
      </w:r>
      <w:r w:rsidR="00AD00D4" w:rsidRPr="00B75BDC">
        <w:rPr>
          <w:rFonts w:cs="Arial"/>
          <w:b/>
          <w:bCs/>
          <w:color w:val="7030A0"/>
        </w:rPr>
        <w:t>e who continued to work took some risks about their health and even their life</w:t>
      </w:r>
      <w:r w:rsidR="00051CFD" w:rsidRPr="00B75BDC">
        <w:rPr>
          <w:rFonts w:cs="Arial"/>
          <w:b/>
          <w:bCs/>
          <w:color w:val="7030A0"/>
        </w:rPr>
        <w:t>, and these risks increased with age.</w:t>
      </w:r>
      <w:r w:rsidR="0099123B" w:rsidRPr="00B75BDC">
        <w:rPr>
          <w:rFonts w:cs="Arial"/>
          <w:color w:val="7030A0"/>
        </w:rPr>
        <w:t xml:space="preserve"> </w:t>
      </w:r>
      <w:r w:rsidR="0099123B" w:rsidRPr="003D3F7A">
        <w:rPr>
          <w:rFonts w:cs="Arial"/>
        </w:rPr>
        <w:t xml:space="preserve"> </w:t>
      </w:r>
    </w:p>
    <w:p w14:paraId="4469428C" w14:textId="77777777" w:rsidR="00051CFD" w:rsidRPr="003D3F7A" w:rsidRDefault="00051CFD">
      <w:pPr>
        <w:rPr>
          <w:rFonts w:cs="Arial"/>
        </w:rPr>
      </w:pPr>
    </w:p>
    <w:p w14:paraId="7EA269F4" w14:textId="7D289C35" w:rsidR="00193DAA" w:rsidRPr="003D3F7A" w:rsidRDefault="0099123B">
      <w:pPr>
        <w:rPr>
          <w:rFonts w:cs="Arial"/>
        </w:rPr>
      </w:pPr>
      <w:r w:rsidRPr="003D3F7A">
        <w:rPr>
          <w:rFonts w:cs="Arial"/>
        </w:rPr>
        <w:t xml:space="preserve">Unsurprisingly, this caused some </w:t>
      </w:r>
      <w:r w:rsidR="003E34DA" w:rsidRPr="003D3F7A">
        <w:rPr>
          <w:rFonts w:cs="Arial"/>
        </w:rPr>
        <w:t xml:space="preserve">older individuals who economically didn’t need to </w:t>
      </w:r>
      <w:r w:rsidR="003408A2" w:rsidRPr="003D3F7A">
        <w:rPr>
          <w:rFonts w:cs="Arial"/>
        </w:rPr>
        <w:t xml:space="preserve">work to withdraw from the </w:t>
      </w:r>
      <w:r w:rsidR="00122B69" w:rsidRPr="003D3F7A">
        <w:rPr>
          <w:rFonts w:cs="Arial"/>
        </w:rPr>
        <w:t>labor force, although it was unclear at the time whether such a withdrawal was temporary or permanent</w:t>
      </w:r>
      <w:r w:rsidR="00086D0A" w:rsidRPr="003D3F7A">
        <w:rPr>
          <w:rFonts w:cs="Arial"/>
        </w:rPr>
        <w:t>.  By 2024 we have a clear</w:t>
      </w:r>
      <w:r w:rsidR="000F216F">
        <w:rPr>
          <w:rFonts w:cs="Arial"/>
        </w:rPr>
        <w:t>er</w:t>
      </w:r>
      <w:r w:rsidR="00086D0A" w:rsidRPr="003D3F7A">
        <w:rPr>
          <w:rFonts w:cs="Arial"/>
        </w:rPr>
        <w:t xml:space="preserve"> picture of the </w:t>
      </w:r>
      <w:r w:rsidR="00F05B6D" w:rsidRPr="003D3F7A">
        <w:rPr>
          <w:rFonts w:cs="Arial"/>
        </w:rPr>
        <w:t xml:space="preserve">longer-term impact of work.  However, it should be kept in mind </w:t>
      </w:r>
      <w:r w:rsidR="00697061" w:rsidRPr="003D3F7A">
        <w:rPr>
          <w:rFonts w:cs="Arial"/>
        </w:rPr>
        <w:t xml:space="preserve">that isn’t always easy for individuals to stop working and then later find a </w:t>
      </w:r>
      <w:r w:rsidR="00B67C48" w:rsidRPr="003D3F7A">
        <w:rPr>
          <w:rFonts w:cs="Arial"/>
        </w:rPr>
        <w:t>job, and it is much more difficult for elderly individuals to do so</w:t>
      </w:r>
      <w:r w:rsidR="00CE755F" w:rsidRPr="003D3F7A">
        <w:rPr>
          <w:rFonts w:cs="Arial"/>
        </w:rPr>
        <w:t xml:space="preserve">.  </w:t>
      </w:r>
    </w:p>
    <w:p w14:paraId="7FBB2B24" w14:textId="77777777" w:rsidR="00CE755F" w:rsidRPr="003D3F7A" w:rsidRDefault="00CE755F">
      <w:pPr>
        <w:rPr>
          <w:rFonts w:cs="Arial"/>
        </w:rPr>
      </w:pPr>
    </w:p>
    <w:p w14:paraId="3741D7B1" w14:textId="6F97851D" w:rsidR="00CE755F" w:rsidRPr="003D3F7A" w:rsidRDefault="008F1BE5">
      <w:pPr>
        <w:rPr>
          <w:rFonts w:cs="Arial"/>
        </w:rPr>
      </w:pPr>
      <w:r w:rsidRPr="003D3F7A">
        <w:rPr>
          <w:rFonts w:cs="Arial"/>
        </w:rPr>
        <w:t>For older individuals</w:t>
      </w:r>
      <w:r w:rsidR="00D95206" w:rsidRPr="003D3F7A">
        <w:rPr>
          <w:rFonts w:cs="Arial"/>
        </w:rPr>
        <w:t xml:space="preserve"> who were working</w:t>
      </w:r>
      <w:r w:rsidRPr="003D3F7A">
        <w:rPr>
          <w:rFonts w:cs="Arial"/>
        </w:rPr>
        <w:t xml:space="preserve">, </w:t>
      </w:r>
      <w:r w:rsidR="0092791E" w:rsidRPr="003D3F7A">
        <w:rPr>
          <w:rFonts w:cs="Arial"/>
        </w:rPr>
        <w:t xml:space="preserve">their later course </w:t>
      </w:r>
      <w:r w:rsidR="00C93E2D" w:rsidRPr="003D3F7A">
        <w:rPr>
          <w:rFonts w:cs="Arial"/>
        </w:rPr>
        <w:t xml:space="preserve">from 2020 onward </w:t>
      </w:r>
      <w:r w:rsidR="0092791E" w:rsidRPr="003D3F7A">
        <w:rPr>
          <w:rFonts w:cs="Arial"/>
        </w:rPr>
        <w:t xml:space="preserve">could follow one </w:t>
      </w:r>
      <w:r w:rsidR="003A1EA7" w:rsidRPr="003D3F7A">
        <w:rPr>
          <w:rFonts w:cs="Arial"/>
        </w:rPr>
        <w:t xml:space="preserve">or more of the following developments. </w:t>
      </w:r>
    </w:p>
    <w:p w14:paraId="55D5BE71" w14:textId="566E8935" w:rsidR="003A1EA7" w:rsidRPr="003D3F7A" w:rsidRDefault="003A1EA7" w:rsidP="006A45A1">
      <w:pPr>
        <w:pStyle w:val="ListParagraph"/>
        <w:numPr>
          <w:ilvl w:val="0"/>
          <w:numId w:val="1"/>
        </w:numPr>
        <w:rPr>
          <w:rFonts w:cs="Arial"/>
        </w:rPr>
      </w:pPr>
      <w:r w:rsidRPr="003D3F7A">
        <w:rPr>
          <w:rFonts w:cs="Arial"/>
        </w:rPr>
        <w:t xml:space="preserve">They </w:t>
      </w:r>
      <w:r w:rsidR="00C93E2D" w:rsidRPr="003D3F7A">
        <w:rPr>
          <w:rFonts w:cs="Arial"/>
        </w:rPr>
        <w:t xml:space="preserve">left the labor force </w:t>
      </w:r>
      <w:r w:rsidR="002C6810" w:rsidRPr="003D3F7A">
        <w:rPr>
          <w:rFonts w:cs="Arial"/>
        </w:rPr>
        <w:t xml:space="preserve">and then </w:t>
      </w:r>
      <w:r w:rsidRPr="003D3F7A">
        <w:rPr>
          <w:rFonts w:cs="Arial"/>
        </w:rPr>
        <w:t>remain</w:t>
      </w:r>
      <w:r w:rsidR="002C6810" w:rsidRPr="003D3F7A">
        <w:rPr>
          <w:rFonts w:cs="Arial"/>
        </w:rPr>
        <w:t>ed</w:t>
      </w:r>
      <w:r w:rsidRPr="003D3F7A">
        <w:rPr>
          <w:rFonts w:cs="Arial"/>
        </w:rPr>
        <w:t xml:space="preserve"> out of </w:t>
      </w:r>
      <w:r w:rsidR="002C6810" w:rsidRPr="003D3F7A">
        <w:rPr>
          <w:rFonts w:cs="Arial"/>
        </w:rPr>
        <w:t>it</w:t>
      </w:r>
      <w:r w:rsidRPr="003D3F7A">
        <w:rPr>
          <w:rFonts w:cs="Arial"/>
        </w:rPr>
        <w:t>, and essentially retired</w:t>
      </w:r>
      <w:r w:rsidR="00780ACE" w:rsidRPr="003D3F7A">
        <w:rPr>
          <w:rFonts w:cs="Arial"/>
        </w:rPr>
        <w:t xml:space="preserve">. </w:t>
      </w:r>
    </w:p>
    <w:p w14:paraId="3866869B" w14:textId="755EABBB" w:rsidR="002C6810" w:rsidRPr="003D3F7A" w:rsidRDefault="002C6810" w:rsidP="006A45A1">
      <w:pPr>
        <w:pStyle w:val="ListParagraph"/>
        <w:numPr>
          <w:ilvl w:val="0"/>
          <w:numId w:val="1"/>
        </w:numPr>
        <w:rPr>
          <w:rFonts w:cs="Arial"/>
        </w:rPr>
      </w:pPr>
      <w:r w:rsidRPr="003D3F7A">
        <w:rPr>
          <w:rFonts w:cs="Arial"/>
        </w:rPr>
        <w:t xml:space="preserve">They continued to work, but </w:t>
      </w:r>
      <w:r w:rsidR="00A06116" w:rsidRPr="003D3F7A">
        <w:rPr>
          <w:rFonts w:cs="Arial"/>
        </w:rPr>
        <w:t xml:space="preserve">may have retired sooner than they otherwise would have because of concerns about coronavirus. </w:t>
      </w:r>
    </w:p>
    <w:p w14:paraId="2726A866" w14:textId="1377BC31" w:rsidR="00A06116" w:rsidRPr="003D3F7A" w:rsidRDefault="00B47430" w:rsidP="006A45A1">
      <w:pPr>
        <w:pStyle w:val="ListParagraph"/>
        <w:numPr>
          <w:ilvl w:val="0"/>
          <w:numId w:val="1"/>
        </w:numPr>
        <w:rPr>
          <w:rFonts w:cs="Arial"/>
        </w:rPr>
      </w:pPr>
      <w:r w:rsidRPr="003D3F7A">
        <w:rPr>
          <w:rFonts w:cs="Arial"/>
        </w:rPr>
        <w:t xml:space="preserve">They withdrew from the labor force for a time, </w:t>
      </w:r>
      <w:r w:rsidR="008310A8" w:rsidRPr="003D3F7A">
        <w:rPr>
          <w:rFonts w:cs="Arial"/>
        </w:rPr>
        <w:t>then returned to work once coronavirus subsided (it continues to be a threat</w:t>
      </w:r>
      <w:r w:rsidR="007733A6" w:rsidRPr="003D3F7A">
        <w:rPr>
          <w:rFonts w:cs="Arial"/>
        </w:rPr>
        <w:t xml:space="preserve">). </w:t>
      </w:r>
    </w:p>
    <w:p w14:paraId="6153C7FC" w14:textId="1A61399D" w:rsidR="007733A6" w:rsidRPr="003D3F7A" w:rsidRDefault="007733A6" w:rsidP="006A45A1">
      <w:pPr>
        <w:pStyle w:val="ListParagraph"/>
        <w:numPr>
          <w:ilvl w:val="0"/>
          <w:numId w:val="1"/>
        </w:numPr>
        <w:rPr>
          <w:rFonts w:cs="Arial"/>
        </w:rPr>
      </w:pPr>
      <w:r w:rsidRPr="003D3F7A">
        <w:rPr>
          <w:rFonts w:cs="Arial"/>
        </w:rPr>
        <w:t xml:space="preserve">They withdrew from the labor force, but then were unable to </w:t>
      </w:r>
      <w:r w:rsidR="008B5816" w:rsidRPr="003D3F7A">
        <w:rPr>
          <w:rFonts w:cs="Arial"/>
        </w:rPr>
        <w:t xml:space="preserve">find a job despite desiring one, and therefore retired involuntarily.  </w:t>
      </w:r>
    </w:p>
    <w:p w14:paraId="35B7D723" w14:textId="4E22B9A4" w:rsidR="001E6C47" w:rsidRPr="003D3F7A" w:rsidRDefault="00745FFD" w:rsidP="006A45A1">
      <w:pPr>
        <w:pStyle w:val="ListParagraph"/>
        <w:numPr>
          <w:ilvl w:val="0"/>
          <w:numId w:val="1"/>
        </w:numPr>
        <w:rPr>
          <w:rFonts w:cs="Arial"/>
        </w:rPr>
      </w:pPr>
      <w:r w:rsidRPr="003D3F7A">
        <w:rPr>
          <w:rFonts w:cs="Arial"/>
        </w:rPr>
        <w:t xml:space="preserve">COVID-related </w:t>
      </w:r>
      <w:r w:rsidR="00992E34" w:rsidRPr="003D3F7A">
        <w:rPr>
          <w:rFonts w:cs="Arial"/>
        </w:rPr>
        <w:t xml:space="preserve">disability caused a cessation of </w:t>
      </w:r>
      <w:r w:rsidR="00C615AD" w:rsidRPr="003D3F7A">
        <w:rPr>
          <w:rFonts w:cs="Arial"/>
        </w:rPr>
        <w:t>work (</w:t>
      </w:r>
      <w:r w:rsidR="003D508E" w:rsidRPr="003D3F7A">
        <w:rPr>
          <w:rFonts w:cs="Arial"/>
        </w:rPr>
        <w:t xml:space="preserve">since 2021, disability rates have </w:t>
      </w:r>
      <w:r w:rsidR="00151034">
        <w:rPr>
          <w:rFonts w:cs="Arial"/>
        </w:rPr>
        <w:t xml:space="preserve">generally </w:t>
      </w:r>
      <w:r w:rsidR="003D508E" w:rsidRPr="003D3F7A">
        <w:rPr>
          <w:rFonts w:cs="Arial"/>
        </w:rPr>
        <w:t>been rising among the elderly).</w:t>
      </w:r>
    </w:p>
    <w:p w14:paraId="5D08497C" w14:textId="383E4F4B" w:rsidR="008B5816" w:rsidRPr="003D3F7A" w:rsidRDefault="006A45A1" w:rsidP="006A45A1">
      <w:pPr>
        <w:pStyle w:val="ListParagraph"/>
        <w:numPr>
          <w:ilvl w:val="0"/>
          <w:numId w:val="1"/>
        </w:numPr>
        <w:rPr>
          <w:rFonts w:cs="Arial"/>
        </w:rPr>
      </w:pPr>
      <w:r w:rsidRPr="003D3F7A">
        <w:rPr>
          <w:rFonts w:cs="Arial"/>
        </w:rPr>
        <w:t xml:space="preserve">They continued to work.  </w:t>
      </w:r>
    </w:p>
    <w:p w14:paraId="034D8D95" w14:textId="77777777" w:rsidR="00092E56" w:rsidRPr="003D3F7A" w:rsidRDefault="00092E56" w:rsidP="00092E56">
      <w:pPr>
        <w:rPr>
          <w:rFonts w:cs="Arial"/>
        </w:rPr>
      </w:pPr>
    </w:p>
    <w:p w14:paraId="219F1A69" w14:textId="77777777" w:rsidR="00A12EB1" w:rsidRPr="003D3F7A" w:rsidRDefault="00092E56" w:rsidP="00092E56">
      <w:pPr>
        <w:rPr>
          <w:rFonts w:cs="Arial"/>
        </w:rPr>
      </w:pPr>
      <w:r w:rsidRPr="003D3F7A">
        <w:rPr>
          <w:rFonts w:cs="Arial"/>
        </w:rPr>
        <w:t xml:space="preserve">The charts in later sections </w:t>
      </w:r>
      <w:r w:rsidR="00CB3340" w:rsidRPr="003D3F7A">
        <w:rPr>
          <w:rFonts w:cs="Arial"/>
        </w:rPr>
        <w:t xml:space="preserve">show the pandemic and post-pandemic impact upon employment rates in the </w:t>
      </w:r>
      <w:r w:rsidR="00B935D3" w:rsidRPr="003D3F7A">
        <w:rPr>
          <w:rFonts w:cs="Arial"/>
        </w:rPr>
        <w:t xml:space="preserve">context of long-term patterns, but the </w:t>
      </w:r>
      <w:r w:rsidR="00486CE8" w:rsidRPr="003D3F7A">
        <w:rPr>
          <w:rFonts w:cs="Arial"/>
        </w:rPr>
        <w:t xml:space="preserve">tables below compare 2023 levels compared to the pre-pandemic 2019 </w:t>
      </w:r>
      <w:r w:rsidR="008408BA" w:rsidRPr="003D3F7A">
        <w:rPr>
          <w:rFonts w:cs="Arial"/>
        </w:rPr>
        <w:t xml:space="preserve">averages, and the narrative on the right side of the tables explains the general patterns </w:t>
      </w:r>
      <w:r w:rsidR="00043E5B" w:rsidRPr="003D3F7A">
        <w:rPr>
          <w:rFonts w:cs="Arial"/>
        </w:rPr>
        <w:t xml:space="preserve">between 2019 and later.  The pattern is somewhat complicated, and to make it easier to </w:t>
      </w:r>
      <w:r w:rsidR="00DB153B" w:rsidRPr="003D3F7A">
        <w:rPr>
          <w:rFonts w:cs="Arial"/>
        </w:rPr>
        <w:t xml:space="preserve">follow the detailed age cohorts are separated into three basic categories:  </w:t>
      </w:r>
    </w:p>
    <w:p w14:paraId="776B653C" w14:textId="6CDDFB67" w:rsidR="00092E56" w:rsidRPr="003D3F7A" w:rsidRDefault="00A12EB1" w:rsidP="00AF1017">
      <w:pPr>
        <w:pStyle w:val="ListParagraph"/>
        <w:numPr>
          <w:ilvl w:val="0"/>
          <w:numId w:val="2"/>
        </w:numPr>
        <w:rPr>
          <w:rFonts w:cs="Arial"/>
        </w:rPr>
      </w:pPr>
      <w:r w:rsidRPr="003D3F7A">
        <w:rPr>
          <w:rFonts w:cs="Arial"/>
        </w:rPr>
        <w:t>pre-retirement (64 and younger</w:t>
      </w:r>
      <w:r w:rsidR="00D978B1">
        <w:rPr>
          <w:rFonts w:cs="Arial"/>
        </w:rPr>
        <w:t>, although as noted previously many of these individuals have already retired</w:t>
      </w:r>
      <w:r w:rsidRPr="003D3F7A">
        <w:rPr>
          <w:rFonts w:cs="Arial"/>
        </w:rPr>
        <w:t xml:space="preserve">), </w:t>
      </w:r>
    </w:p>
    <w:p w14:paraId="740CA903" w14:textId="3FBEFEB2" w:rsidR="00A12EB1" w:rsidRPr="003D3F7A" w:rsidRDefault="00A12EB1" w:rsidP="00AF1017">
      <w:pPr>
        <w:pStyle w:val="ListParagraph"/>
        <w:numPr>
          <w:ilvl w:val="0"/>
          <w:numId w:val="2"/>
        </w:numPr>
        <w:rPr>
          <w:rFonts w:cs="Arial"/>
        </w:rPr>
      </w:pPr>
      <w:r w:rsidRPr="003D3F7A">
        <w:rPr>
          <w:rFonts w:cs="Arial"/>
        </w:rPr>
        <w:t xml:space="preserve">typical retirement years (65 to 69), and </w:t>
      </w:r>
    </w:p>
    <w:p w14:paraId="6725FF2C" w14:textId="68C80CB3" w:rsidR="00A12EB1" w:rsidRPr="003D3F7A" w:rsidRDefault="00AF1017" w:rsidP="00AF1017">
      <w:pPr>
        <w:pStyle w:val="ListParagraph"/>
        <w:numPr>
          <w:ilvl w:val="0"/>
          <w:numId w:val="2"/>
        </w:numPr>
        <w:rPr>
          <w:rFonts w:cs="Arial"/>
        </w:rPr>
      </w:pPr>
      <w:r w:rsidRPr="003D3F7A">
        <w:rPr>
          <w:rFonts w:cs="Arial"/>
        </w:rPr>
        <w:t xml:space="preserve">post-retirement years (70 and older). </w:t>
      </w:r>
    </w:p>
    <w:p w14:paraId="7C7E3EFC" w14:textId="77777777" w:rsidR="00340292" w:rsidRDefault="00340292" w:rsidP="00AF1017">
      <w:pPr>
        <w:rPr>
          <w:rFonts w:cs="Arial"/>
        </w:rPr>
      </w:pPr>
    </w:p>
    <w:p w14:paraId="5486938F" w14:textId="5B879C26" w:rsidR="00AF1017" w:rsidRPr="003D3F7A" w:rsidRDefault="00AF1017" w:rsidP="00AF1017">
      <w:pPr>
        <w:rPr>
          <w:rFonts w:cs="Arial"/>
        </w:rPr>
      </w:pPr>
      <w:r w:rsidRPr="003D3F7A">
        <w:rPr>
          <w:rFonts w:cs="Arial"/>
        </w:rPr>
        <w:t xml:space="preserve">This classification scheme </w:t>
      </w:r>
      <w:r w:rsidR="000A1552" w:rsidRPr="003D3F7A">
        <w:rPr>
          <w:rFonts w:cs="Arial"/>
        </w:rPr>
        <w:t xml:space="preserve">shows that some age groups </w:t>
      </w:r>
      <w:r w:rsidR="0027425E" w:rsidRPr="003D3F7A">
        <w:rPr>
          <w:rFonts w:cs="Arial"/>
        </w:rPr>
        <w:t>follow clear patterns</w:t>
      </w:r>
      <w:r w:rsidR="00E44F2B" w:rsidRPr="003D3F7A">
        <w:rPr>
          <w:rFonts w:cs="Arial"/>
        </w:rPr>
        <w:t xml:space="preserve">, while for others the impact </w:t>
      </w:r>
      <w:r w:rsidR="00D65CA5">
        <w:rPr>
          <w:rFonts w:cs="Arial"/>
        </w:rPr>
        <w:t>differs</w:t>
      </w:r>
      <w:r w:rsidR="00E44F2B" w:rsidRPr="003D3F7A">
        <w:rPr>
          <w:rFonts w:cs="Arial"/>
        </w:rPr>
        <w:t xml:space="preserve"> </w:t>
      </w:r>
      <w:r w:rsidR="00CC54B4" w:rsidRPr="003D3F7A">
        <w:rPr>
          <w:rFonts w:cs="Arial"/>
        </w:rPr>
        <w:t xml:space="preserve">for women versus men.  The first table below shows the totals, and the following two </w:t>
      </w:r>
      <w:r w:rsidR="00FE17D3" w:rsidRPr="003D3F7A">
        <w:rPr>
          <w:rFonts w:cs="Arial"/>
        </w:rPr>
        <w:t>show the gender-specific trends.</w:t>
      </w:r>
    </w:p>
    <w:p w14:paraId="6064B9DA" w14:textId="77777777" w:rsidR="00D1578C" w:rsidRPr="003D3F7A" w:rsidRDefault="00D1578C" w:rsidP="00AF1017">
      <w:pPr>
        <w:rPr>
          <w:rFonts w:cs="Arial"/>
        </w:rPr>
      </w:pPr>
    </w:p>
    <w:p w14:paraId="1C68AB2A" w14:textId="77777777" w:rsidR="005D0D0F" w:rsidRPr="003D3F7A" w:rsidRDefault="00D1578C" w:rsidP="00AF1017">
      <w:pPr>
        <w:rPr>
          <w:rFonts w:cs="Arial"/>
        </w:rPr>
      </w:pPr>
      <w:r w:rsidRPr="003D3F7A">
        <w:rPr>
          <w:rFonts w:cs="Arial"/>
          <w:b/>
          <w:bCs/>
        </w:rPr>
        <w:t>General patterns.</w:t>
      </w:r>
      <w:r w:rsidRPr="003D3F7A">
        <w:rPr>
          <w:rFonts w:cs="Arial"/>
        </w:rPr>
        <w:t xml:space="preserve">  </w:t>
      </w:r>
      <w:r w:rsidR="0051384E" w:rsidRPr="003D3F7A">
        <w:rPr>
          <w:rFonts w:cs="Arial"/>
        </w:rPr>
        <w:t xml:space="preserve">The pandemic recession </w:t>
      </w:r>
      <w:r w:rsidR="003A4A67" w:rsidRPr="003D3F7A">
        <w:rPr>
          <w:rFonts w:cs="Arial"/>
        </w:rPr>
        <w:t>laid off</w:t>
      </w:r>
      <w:r w:rsidR="006170D0" w:rsidRPr="003D3F7A">
        <w:rPr>
          <w:rFonts w:cs="Arial"/>
        </w:rPr>
        <w:t xml:space="preserve"> a greater proportion of </w:t>
      </w:r>
      <w:r w:rsidR="003A4A67" w:rsidRPr="003D3F7A">
        <w:rPr>
          <w:rFonts w:cs="Arial"/>
        </w:rPr>
        <w:t xml:space="preserve">the labor force than any </w:t>
      </w:r>
      <w:r w:rsidR="00572F2D" w:rsidRPr="003D3F7A">
        <w:rPr>
          <w:rFonts w:cs="Arial"/>
        </w:rPr>
        <w:t xml:space="preserve">downturn since the Great Depression, but fortunately </w:t>
      </w:r>
      <w:r w:rsidR="0011589C" w:rsidRPr="003D3F7A">
        <w:rPr>
          <w:rFonts w:cs="Arial"/>
        </w:rPr>
        <w:t>the recovery took much less time to begin</w:t>
      </w:r>
      <w:r w:rsidR="006C0DEB" w:rsidRPr="003D3F7A">
        <w:rPr>
          <w:rFonts w:cs="Arial"/>
        </w:rPr>
        <w:t xml:space="preserve">.  Therefore employment rates fell among individuals of all ages, not just </w:t>
      </w:r>
      <w:r w:rsidR="005A72BB" w:rsidRPr="003D3F7A">
        <w:rPr>
          <w:rFonts w:cs="Arial"/>
        </w:rPr>
        <w:t xml:space="preserve">the elderly. </w:t>
      </w:r>
    </w:p>
    <w:p w14:paraId="6F60E23D" w14:textId="77777777" w:rsidR="005D0D0F" w:rsidRPr="003D3F7A" w:rsidRDefault="005D0D0F" w:rsidP="001846B4">
      <w:pPr>
        <w:jc w:val="right"/>
        <w:rPr>
          <w:rFonts w:cs="Arial"/>
        </w:rPr>
      </w:pPr>
    </w:p>
    <w:p w14:paraId="50BD48E5" w14:textId="5BB9285A" w:rsidR="00D1578C" w:rsidRPr="003D3F7A" w:rsidRDefault="005D0D0F" w:rsidP="00AF1017">
      <w:pPr>
        <w:rPr>
          <w:rFonts w:cs="Arial"/>
        </w:rPr>
      </w:pPr>
      <w:r w:rsidRPr="003D3F7A">
        <w:rPr>
          <w:rFonts w:cs="Arial"/>
        </w:rPr>
        <w:lastRenderedPageBreak/>
        <w:t>Note that the age brackets used by BLS and the Census Bureau don’t coincide with the Old Age Insurance age brackets (which, as noted above, have themselves changed over time</w:t>
      </w:r>
      <w:r w:rsidR="00EC4C4C" w:rsidRPr="003D3F7A">
        <w:rPr>
          <w:rFonts w:cs="Arial"/>
        </w:rPr>
        <w:t>).</w:t>
      </w:r>
      <w:r w:rsidR="00262355" w:rsidRPr="003D3F7A">
        <w:rPr>
          <w:rStyle w:val="FootnoteReference"/>
          <w:rFonts w:cs="Arial"/>
        </w:rPr>
        <w:footnoteReference w:id="4"/>
      </w:r>
      <w:r w:rsidR="00EC4C4C" w:rsidRPr="003D3F7A">
        <w:rPr>
          <w:rFonts w:cs="Arial"/>
        </w:rPr>
        <w:t xml:space="preserve">  </w:t>
      </w:r>
      <w:r w:rsidR="00EE7004" w:rsidRPr="003D3F7A">
        <w:rPr>
          <w:rFonts w:cs="Arial"/>
        </w:rPr>
        <w:t xml:space="preserve">Social Security isn’t mandatory, although its </w:t>
      </w:r>
      <w:r w:rsidR="007923B9">
        <w:rPr>
          <w:rFonts w:cs="Arial"/>
        </w:rPr>
        <w:t>rules</w:t>
      </w:r>
      <w:r w:rsidR="00EE7004" w:rsidRPr="003D3F7A">
        <w:rPr>
          <w:rFonts w:cs="Arial"/>
        </w:rPr>
        <w:t xml:space="preserve"> provide strong economic incentives to </w:t>
      </w:r>
      <w:r w:rsidR="00144985" w:rsidRPr="003D3F7A">
        <w:rPr>
          <w:rFonts w:cs="Arial"/>
        </w:rPr>
        <w:t xml:space="preserve">either continue to work or to retire, depending upon </w:t>
      </w:r>
      <w:r w:rsidR="00FE2194">
        <w:rPr>
          <w:rFonts w:cs="Arial"/>
        </w:rPr>
        <w:t>individuals’</w:t>
      </w:r>
      <w:r w:rsidR="000B5215" w:rsidRPr="003D3F7A">
        <w:rPr>
          <w:rFonts w:cs="Arial"/>
        </w:rPr>
        <w:t xml:space="preserve"> </w:t>
      </w:r>
      <w:r w:rsidR="00FE2194">
        <w:rPr>
          <w:rFonts w:cs="Arial"/>
        </w:rPr>
        <w:t xml:space="preserve">specific </w:t>
      </w:r>
      <w:r w:rsidR="000B5215" w:rsidRPr="003D3F7A">
        <w:rPr>
          <w:rFonts w:cs="Arial"/>
        </w:rPr>
        <w:t xml:space="preserve">age.  </w:t>
      </w:r>
      <w:r w:rsidR="00A41513" w:rsidRPr="003D3F7A">
        <w:rPr>
          <w:rFonts w:cs="Arial"/>
        </w:rPr>
        <w:t xml:space="preserve">Consequently there remains some element of personal choice in whether individuals </w:t>
      </w:r>
      <w:r w:rsidR="00582816" w:rsidRPr="003D3F7A">
        <w:rPr>
          <w:rFonts w:cs="Arial"/>
        </w:rPr>
        <w:t xml:space="preserve">continue to work or not, irrespective of their age.  </w:t>
      </w:r>
    </w:p>
    <w:p w14:paraId="660DB7B2" w14:textId="77777777" w:rsidR="00296E21" w:rsidRPr="003D3F7A" w:rsidRDefault="00296E21" w:rsidP="00AF1017">
      <w:pPr>
        <w:rPr>
          <w:rFonts w:cs="Arial"/>
        </w:rPr>
      </w:pPr>
    </w:p>
    <w:p w14:paraId="5E58EE9B" w14:textId="2C171434" w:rsidR="002A3751" w:rsidRPr="003D3F7A" w:rsidRDefault="00296E21" w:rsidP="00AF1017">
      <w:pPr>
        <w:rPr>
          <w:rFonts w:cs="Arial"/>
        </w:rPr>
      </w:pPr>
      <w:r w:rsidRPr="003D3F7A">
        <w:rPr>
          <w:rFonts w:cs="Arial"/>
        </w:rPr>
        <w:t xml:space="preserve">One recent element </w:t>
      </w:r>
      <w:r w:rsidRPr="003D3F7A">
        <w:rPr>
          <w:rFonts w:cs="Arial"/>
          <w:i/>
          <w:iCs/>
        </w:rPr>
        <w:t>not</w:t>
      </w:r>
      <w:r w:rsidRPr="003D3F7A">
        <w:rPr>
          <w:rFonts w:cs="Arial"/>
        </w:rPr>
        <w:t xml:space="preserve"> involving </w:t>
      </w:r>
      <w:r w:rsidR="00F87F2E">
        <w:rPr>
          <w:rFonts w:cs="Arial"/>
        </w:rPr>
        <w:t xml:space="preserve">complete discretion </w:t>
      </w:r>
      <w:r w:rsidR="00CF19E2" w:rsidRPr="003D3F7A">
        <w:rPr>
          <w:rFonts w:cs="Arial"/>
        </w:rPr>
        <w:t xml:space="preserve">is coronavirus-related disability.  This is difficult to accurately </w:t>
      </w:r>
      <w:r w:rsidR="00CB79A6" w:rsidRPr="003D3F7A">
        <w:rPr>
          <w:rFonts w:cs="Arial"/>
        </w:rPr>
        <w:t xml:space="preserve">measure.  Because the disease was much more deadly among those with a pre-existing disability, and for the elderly in general, it decreased the number of persons with disabilities by killing them.  However, coronavirus also increased the number of persons with disabilities, especially via persistent coronavirus symptoms (commonly called “long COVID”).  The CPS data show that among the elderly – unlike for younger cohorts – disability rates continued to rise significantly in 2023, albeit at a lesser pace than in 2022 (a .4 percentage point rise, compared to .9 points in 2022).  </w:t>
      </w:r>
      <w:r w:rsidR="002E33CC" w:rsidRPr="003D3F7A">
        <w:rPr>
          <w:rFonts w:cs="Arial"/>
        </w:rPr>
        <w:t>T</w:t>
      </w:r>
      <w:r w:rsidR="004A379A" w:rsidRPr="003D3F7A">
        <w:rPr>
          <w:rFonts w:cs="Arial"/>
        </w:rPr>
        <w:t xml:space="preserve">he rise in disability rates has been concentrated among 65 to </w:t>
      </w:r>
      <w:r w:rsidR="00B5272C" w:rsidRPr="003D3F7A">
        <w:rPr>
          <w:rFonts w:cs="Arial"/>
        </w:rPr>
        <w:t>69</w:t>
      </w:r>
      <w:r w:rsidR="00087C49" w:rsidRPr="003D3F7A">
        <w:rPr>
          <w:rFonts w:cs="Arial"/>
        </w:rPr>
        <w:t xml:space="preserve"> year-olds</w:t>
      </w:r>
      <w:r w:rsidR="00B5272C" w:rsidRPr="003D3F7A">
        <w:rPr>
          <w:rFonts w:cs="Arial"/>
        </w:rPr>
        <w:t xml:space="preserve"> (and </w:t>
      </w:r>
      <w:r w:rsidR="00255152" w:rsidRPr="003D3F7A">
        <w:rPr>
          <w:rFonts w:cs="Arial"/>
        </w:rPr>
        <w:t>female 70 to 74 year-olds)</w:t>
      </w:r>
      <w:r w:rsidR="00087C49" w:rsidRPr="003D3F7A">
        <w:rPr>
          <w:rFonts w:cs="Arial"/>
        </w:rPr>
        <w:t xml:space="preserve">, as </w:t>
      </w:r>
      <w:r w:rsidR="00255152" w:rsidRPr="003D3F7A">
        <w:rPr>
          <w:rFonts w:cs="Arial"/>
        </w:rPr>
        <w:t>by</w:t>
      </w:r>
      <w:r w:rsidR="00087C49" w:rsidRPr="003D3F7A">
        <w:rPr>
          <w:rFonts w:cs="Arial"/>
        </w:rPr>
        <w:t xml:space="preserve"> 2023 </w:t>
      </w:r>
      <w:r w:rsidR="00255152" w:rsidRPr="003D3F7A">
        <w:rPr>
          <w:rFonts w:cs="Arial"/>
        </w:rPr>
        <w:t xml:space="preserve">disability rates were stable or declining among </w:t>
      </w:r>
      <w:r w:rsidR="00087C49" w:rsidRPr="003D3F7A">
        <w:rPr>
          <w:rFonts w:cs="Arial"/>
        </w:rPr>
        <w:t>those 75 and older.</w:t>
      </w:r>
      <w:r w:rsidR="00255152" w:rsidRPr="003D3F7A">
        <w:rPr>
          <w:rFonts w:cs="Arial"/>
        </w:rPr>
        <w:t xml:space="preserve">  </w:t>
      </w:r>
    </w:p>
    <w:p w14:paraId="20835BE9" w14:textId="77777777" w:rsidR="002A3751" w:rsidRPr="003D3F7A" w:rsidRDefault="002A3751" w:rsidP="00AF1017">
      <w:pPr>
        <w:rPr>
          <w:rFonts w:cs="Arial"/>
        </w:rPr>
      </w:pPr>
    </w:p>
    <w:p w14:paraId="211FB973" w14:textId="14C68FB2" w:rsidR="00296E21" w:rsidRPr="003D3F7A" w:rsidRDefault="00CB79A6" w:rsidP="00AF1017">
      <w:pPr>
        <w:rPr>
          <w:rFonts w:cs="Arial"/>
        </w:rPr>
      </w:pPr>
      <w:r w:rsidRPr="003D3F7A">
        <w:rPr>
          <w:rFonts w:cs="Arial"/>
        </w:rPr>
        <w:t>A special CPS disability supplement will be conducted in July 2024 that includes a specific question about persistent disability caused by coronavirus, which will hopefully enable us to have a better understanding of the impact of this disease upon disability.</w:t>
      </w:r>
    </w:p>
    <w:p w14:paraId="1AF81C44" w14:textId="77777777" w:rsidR="005A72BB" w:rsidRPr="003D3F7A" w:rsidRDefault="005A72BB" w:rsidP="00AF1017">
      <w:pPr>
        <w:rPr>
          <w:rFonts w:cs="Arial"/>
        </w:rPr>
      </w:pPr>
    </w:p>
    <w:p w14:paraId="1665DE7F" w14:textId="0D86A67F" w:rsidR="005A72BB" w:rsidRPr="003D3F7A" w:rsidRDefault="00B97950" w:rsidP="00AF1017">
      <w:pPr>
        <w:rPr>
          <w:rFonts w:cs="Arial"/>
        </w:rPr>
      </w:pPr>
      <w:r w:rsidRPr="003D3F7A">
        <w:rPr>
          <w:rFonts w:cs="Arial"/>
          <w:b/>
          <w:bCs/>
          <w:color w:val="7030A0"/>
        </w:rPr>
        <w:t>One of t</w:t>
      </w:r>
      <w:r w:rsidR="00EB584E" w:rsidRPr="003D3F7A">
        <w:rPr>
          <w:rFonts w:cs="Arial"/>
          <w:b/>
          <w:bCs/>
          <w:color w:val="7030A0"/>
        </w:rPr>
        <w:t>he simplest pattern</w:t>
      </w:r>
      <w:r w:rsidR="00EC701F" w:rsidRPr="003D3F7A">
        <w:rPr>
          <w:rFonts w:cs="Arial"/>
          <w:b/>
          <w:bCs/>
          <w:color w:val="7030A0"/>
        </w:rPr>
        <w:t>s</w:t>
      </w:r>
      <w:r w:rsidR="00EB584E" w:rsidRPr="003D3F7A">
        <w:rPr>
          <w:rFonts w:cs="Arial"/>
          <w:b/>
          <w:bCs/>
          <w:color w:val="7030A0"/>
        </w:rPr>
        <w:t xml:space="preserve"> occurred among older individuals of typically pre-retirement ages</w:t>
      </w:r>
      <w:r w:rsidR="002E3A7C" w:rsidRPr="003D3F7A">
        <w:rPr>
          <w:rFonts w:cs="Arial"/>
          <w:b/>
          <w:bCs/>
          <w:color w:val="7030A0"/>
        </w:rPr>
        <w:t xml:space="preserve">, </w:t>
      </w:r>
      <w:r w:rsidR="002E3A7C" w:rsidRPr="003D3F7A">
        <w:rPr>
          <w:rFonts w:cs="Arial"/>
          <w:b/>
          <w:bCs/>
        </w:rPr>
        <w:t xml:space="preserve">55 to 64 </w:t>
      </w:r>
      <w:r w:rsidR="002E3A7C" w:rsidRPr="003D3F7A">
        <w:rPr>
          <w:rFonts w:cs="Arial"/>
          <w:b/>
          <w:bCs/>
          <w:color w:val="7030A0"/>
        </w:rPr>
        <w:t>(the first two groups shown in the tables)</w:t>
      </w:r>
      <w:r w:rsidR="00D67CCD" w:rsidRPr="003D3F7A">
        <w:rPr>
          <w:rFonts w:cs="Arial"/>
          <w:b/>
          <w:bCs/>
          <w:color w:val="7030A0"/>
        </w:rPr>
        <w:t xml:space="preserve">.  </w:t>
      </w:r>
      <w:r w:rsidR="00DD71A4" w:rsidRPr="003D3F7A">
        <w:rPr>
          <w:rFonts w:cs="Arial"/>
          <w:b/>
          <w:bCs/>
          <w:color w:val="7030A0"/>
        </w:rPr>
        <w:t xml:space="preserve">By 2023, their employment rates had at least returned to </w:t>
      </w:r>
      <w:r w:rsidR="00CB3CA5" w:rsidRPr="003D3F7A">
        <w:rPr>
          <w:rFonts w:cs="Arial"/>
          <w:b/>
          <w:bCs/>
          <w:color w:val="7030A0"/>
        </w:rPr>
        <w:t xml:space="preserve">2019 averages, and in most cases surpassed the 2019 levels.  </w:t>
      </w:r>
      <w:r w:rsidR="0033068D" w:rsidRPr="003D3F7A">
        <w:rPr>
          <w:rFonts w:cs="Arial"/>
          <w:b/>
          <w:bCs/>
          <w:color w:val="7030A0"/>
        </w:rPr>
        <w:t xml:space="preserve">This pattern also </w:t>
      </w:r>
      <w:r w:rsidR="00F25936" w:rsidRPr="003D3F7A">
        <w:rPr>
          <w:rFonts w:cs="Arial"/>
          <w:b/>
          <w:bCs/>
          <w:color w:val="7030A0"/>
        </w:rPr>
        <w:t xml:space="preserve">occurred among the 25 to 54 year-old individuals </w:t>
      </w:r>
      <w:r w:rsidR="00422AFE" w:rsidRPr="003D3F7A">
        <w:rPr>
          <w:rFonts w:cs="Arial"/>
          <w:b/>
          <w:bCs/>
          <w:color w:val="7030A0"/>
        </w:rPr>
        <w:t xml:space="preserve">generally considered to be </w:t>
      </w:r>
      <w:r w:rsidR="00D540BE" w:rsidRPr="003D3F7A">
        <w:rPr>
          <w:rFonts w:cs="Arial"/>
          <w:b/>
          <w:bCs/>
          <w:color w:val="7030A0"/>
        </w:rPr>
        <w:t>of</w:t>
      </w:r>
      <w:r w:rsidR="00F25936" w:rsidRPr="003D3F7A">
        <w:rPr>
          <w:rFonts w:cs="Arial"/>
          <w:b/>
          <w:bCs/>
          <w:color w:val="7030A0"/>
        </w:rPr>
        <w:t xml:space="preserve"> prime working age.</w:t>
      </w:r>
      <w:r w:rsidR="00F25936" w:rsidRPr="003D3F7A">
        <w:rPr>
          <w:rStyle w:val="FootnoteReference"/>
          <w:rFonts w:cs="Arial"/>
        </w:rPr>
        <w:footnoteReference w:id="5"/>
      </w:r>
      <w:r w:rsidR="00866EFD" w:rsidRPr="003D3F7A">
        <w:rPr>
          <w:rFonts w:cs="Arial"/>
          <w:b/>
          <w:bCs/>
          <w:color w:val="7030A0"/>
        </w:rPr>
        <w:t xml:space="preserve">  </w:t>
      </w:r>
      <w:r w:rsidR="007E2393">
        <w:rPr>
          <w:rFonts w:cs="Arial"/>
          <w:b/>
          <w:bCs/>
          <w:color w:val="7030A0"/>
        </w:rPr>
        <w:t>To summarize</w:t>
      </w:r>
      <w:r w:rsidR="00866EFD" w:rsidRPr="003D3F7A">
        <w:rPr>
          <w:rFonts w:cs="Arial"/>
          <w:b/>
          <w:bCs/>
          <w:color w:val="7030A0"/>
        </w:rPr>
        <w:t xml:space="preserve">, the pandemic </w:t>
      </w:r>
      <w:r w:rsidR="00D80C77" w:rsidRPr="003D3F7A">
        <w:rPr>
          <w:rFonts w:cs="Arial"/>
          <w:b/>
          <w:bCs/>
          <w:color w:val="7030A0"/>
        </w:rPr>
        <w:t xml:space="preserve">has not persistently reduced the employment rate among older individuals </w:t>
      </w:r>
      <w:r w:rsidR="00C379B5" w:rsidRPr="003D3F7A">
        <w:rPr>
          <w:rFonts w:cs="Arial"/>
          <w:b/>
          <w:bCs/>
          <w:color w:val="7030A0"/>
        </w:rPr>
        <w:t xml:space="preserve">who are </w:t>
      </w:r>
      <w:r w:rsidR="00D80C77" w:rsidRPr="003D3F7A">
        <w:rPr>
          <w:rFonts w:cs="Arial"/>
          <w:b/>
          <w:bCs/>
          <w:color w:val="7030A0"/>
        </w:rPr>
        <w:t>in the immediate</w:t>
      </w:r>
      <w:r w:rsidR="00CC07D2" w:rsidRPr="003D3F7A">
        <w:rPr>
          <w:rFonts w:cs="Arial"/>
          <w:b/>
          <w:bCs/>
          <w:color w:val="7030A0"/>
        </w:rPr>
        <w:t xml:space="preserve"> typical pre-retirement years.</w:t>
      </w:r>
    </w:p>
    <w:p w14:paraId="13DBABD7" w14:textId="77777777" w:rsidR="00B20EE3" w:rsidRPr="003D3F7A" w:rsidRDefault="00B20EE3" w:rsidP="00B20EE3">
      <w:pPr>
        <w:rPr>
          <w:rFonts w:eastAsia="Calibri" w:cs="Arial"/>
          <w:b/>
          <w:bCs/>
          <w:color w:val="FF0000"/>
        </w:rPr>
      </w:pPr>
    </w:p>
    <w:p w14:paraId="05B2973D" w14:textId="39E06A4B" w:rsidR="00092E56" w:rsidRPr="003D3F7A" w:rsidRDefault="006069E2" w:rsidP="00B20EE3">
      <w:pPr>
        <w:rPr>
          <w:rFonts w:eastAsia="Calibri" w:cs="Arial"/>
        </w:rPr>
      </w:pPr>
      <w:r w:rsidRPr="003D3F7A">
        <w:rPr>
          <w:rFonts w:eastAsia="Calibri" w:cs="Arial"/>
        </w:rPr>
        <w:t xml:space="preserve">A </w:t>
      </w:r>
      <w:r w:rsidR="00287F92" w:rsidRPr="003D3F7A">
        <w:rPr>
          <w:rFonts w:eastAsia="Calibri" w:cs="Arial"/>
        </w:rPr>
        <w:t xml:space="preserve">relatively </w:t>
      </w:r>
      <w:r w:rsidRPr="003D3F7A">
        <w:rPr>
          <w:rFonts w:eastAsia="Calibri" w:cs="Arial"/>
        </w:rPr>
        <w:t xml:space="preserve">simple but opposite pattern occurred among individuals </w:t>
      </w:r>
      <w:r w:rsidR="00F858FD" w:rsidRPr="003D3F7A">
        <w:rPr>
          <w:rFonts w:eastAsia="Calibri" w:cs="Arial"/>
        </w:rPr>
        <w:t xml:space="preserve">of the typical retirement ages of </w:t>
      </w:r>
      <w:r w:rsidR="00F858FD" w:rsidRPr="00D967D6">
        <w:rPr>
          <w:rFonts w:eastAsia="Calibri" w:cs="Arial"/>
          <w:b/>
          <w:bCs/>
        </w:rPr>
        <w:t>65 to 69</w:t>
      </w:r>
      <w:r w:rsidR="00F858FD" w:rsidRPr="003D3F7A">
        <w:rPr>
          <w:rFonts w:eastAsia="Calibri" w:cs="Arial"/>
        </w:rPr>
        <w:t xml:space="preserve"> (recalling that the “normal” Old Age </w:t>
      </w:r>
      <w:r w:rsidR="00D2510E" w:rsidRPr="003D3F7A">
        <w:rPr>
          <w:rFonts w:eastAsia="Calibri" w:cs="Arial"/>
        </w:rPr>
        <w:t xml:space="preserve">Insurance age is 67, at which age an applicant </w:t>
      </w:r>
      <w:r w:rsidR="00FE4FA4" w:rsidRPr="003D3F7A">
        <w:rPr>
          <w:rFonts w:eastAsia="Calibri" w:cs="Arial"/>
        </w:rPr>
        <w:t xml:space="preserve">suffers no reduction in their benefit amount).  </w:t>
      </w:r>
      <w:r w:rsidR="006107FC" w:rsidRPr="003D3F7A">
        <w:rPr>
          <w:rFonts w:eastAsia="Calibri" w:cs="Arial"/>
          <w:b/>
          <w:bCs/>
          <w:color w:val="7030A0"/>
        </w:rPr>
        <w:t xml:space="preserve">For both men and women, the 2023 employment rate remained below the 2019 </w:t>
      </w:r>
      <w:r w:rsidR="00660F77" w:rsidRPr="003D3F7A">
        <w:rPr>
          <w:rFonts w:eastAsia="Calibri" w:cs="Arial"/>
          <w:b/>
          <w:bCs/>
          <w:color w:val="7030A0"/>
        </w:rPr>
        <w:t xml:space="preserve">level.  However, as the </w:t>
      </w:r>
      <w:r w:rsidR="001D6A9C" w:rsidRPr="003D3F7A">
        <w:rPr>
          <w:rFonts w:eastAsia="Calibri" w:cs="Arial"/>
          <w:b/>
          <w:bCs/>
          <w:color w:val="7030A0"/>
        </w:rPr>
        <w:t xml:space="preserve">rate for women continued to vigorously rise </w:t>
      </w:r>
      <w:r w:rsidR="00711331" w:rsidRPr="003D3F7A">
        <w:rPr>
          <w:rFonts w:eastAsia="Calibri" w:cs="Arial"/>
          <w:b/>
          <w:bCs/>
          <w:color w:val="7030A0"/>
        </w:rPr>
        <w:t xml:space="preserve">through 2023, it is likely that </w:t>
      </w:r>
      <w:r w:rsidR="00866EFD" w:rsidRPr="003D3F7A">
        <w:rPr>
          <w:rFonts w:eastAsia="Calibri" w:cs="Arial"/>
          <w:b/>
          <w:bCs/>
          <w:color w:val="7030A0"/>
        </w:rPr>
        <w:t xml:space="preserve">the pandemic impact in reducing work is a temporary </w:t>
      </w:r>
      <w:r w:rsidR="00CC07D2" w:rsidRPr="003D3F7A">
        <w:rPr>
          <w:rFonts w:eastAsia="Calibri" w:cs="Arial"/>
          <w:b/>
          <w:bCs/>
          <w:color w:val="7030A0"/>
        </w:rPr>
        <w:t>one.  In contrast</w:t>
      </w:r>
      <w:r w:rsidR="00240EC1" w:rsidRPr="003D3F7A">
        <w:rPr>
          <w:rFonts w:eastAsia="Calibri" w:cs="Arial"/>
          <w:b/>
          <w:bCs/>
          <w:color w:val="7030A0"/>
        </w:rPr>
        <w:t xml:space="preserve">, there was no rise in men’s employment for this age bracket, suggesting that the pandemic </w:t>
      </w:r>
      <w:r w:rsidR="001846B4" w:rsidRPr="003D3F7A">
        <w:rPr>
          <w:rFonts w:eastAsia="Calibri" w:cs="Arial"/>
          <w:b/>
          <w:bCs/>
          <w:color w:val="7030A0"/>
        </w:rPr>
        <w:t>impact may be more persistent among men.</w:t>
      </w:r>
    </w:p>
    <w:p w14:paraId="3B25E879" w14:textId="11C6C2B1" w:rsidR="00C31CB5" w:rsidRPr="003D3F7A" w:rsidRDefault="00C31CB5" w:rsidP="00B20EE3">
      <w:pPr>
        <w:rPr>
          <w:rFonts w:eastAsia="Calibri" w:cs="Arial"/>
        </w:rPr>
      </w:pPr>
    </w:p>
    <w:p w14:paraId="6ADE84B9" w14:textId="486AAF5C" w:rsidR="00705DE4" w:rsidRPr="003D3F7A" w:rsidRDefault="00884159" w:rsidP="00B20EE3">
      <w:pPr>
        <w:rPr>
          <w:rFonts w:eastAsia="Calibri" w:cs="Arial"/>
        </w:rPr>
      </w:pPr>
      <w:r w:rsidRPr="00E80E49">
        <w:rPr>
          <w:rFonts w:eastAsia="Calibri" w:cs="Arial"/>
          <w:b/>
          <w:bCs/>
          <w:color w:val="7030A0"/>
        </w:rPr>
        <w:t xml:space="preserve">The </w:t>
      </w:r>
      <w:r w:rsidR="00BC005D" w:rsidRPr="00E80E49">
        <w:rPr>
          <w:rFonts w:eastAsia="Calibri" w:cs="Arial"/>
          <w:b/>
          <w:bCs/>
          <w:color w:val="7030A0"/>
        </w:rPr>
        <w:t xml:space="preserve">pandemic </w:t>
      </w:r>
      <w:r w:rsidRPr="00E80E49">
        <w:rPr>
          <w:rFonts w:eastAsia="Calibri" w:cs="Arial"/>
          <w:b/>
          <w:bCs/>
          <w:color w:val="7030A0"/>
        </w:rPr>
        <w:t xml:space="preserve">impact is more complicated for individuals of typical post-retirement ages, varying both by gender and by </w:t>
      </w:r>
      <w:r w:rsidR="00457D56" w:rsidRPr="00E80E49">
        <w:rPr>
          <w:rFonts w:eastAsia="Calibri" w:cs="Arial"/>
          <w:b/>
          <w:bCs/>
          <w:color w:val="7030A0"/>
        </w:rPr>
        <w:t>the age sub-categories</w:t>
      </w:r>
      <w:r w:rsidR="0040484C" w:rsidRPr="00E80E49">
        <w:rPr>
          <w:rFonts w:eastAsia="Calibri" w:cs="Arial"/>
          <w:b/>
          <w:bCs/>
          <w:color w:val="7030A0"/>
        </w:rPr>
        <w:t>.</w:t>
      </w:r>
      <w:r w:rsidR="0040484C">
        <w:rPr>
          <w:rStyle w:val="FootnoteReference"/>
          <w:rFonts w:eastAsia="Calibri" w:cs="Arial"/>
        </w:rPr>
        <w:footnoteReference w:id="6"/>
      </w:r>
      <w:r w:rsidR="00457D56" w:rsidRPr="003D3F7A">
        <w:rPr>
          <w:rFonts w:eastAsia="Calibri" w:cs="Arial"/>
        </w:rPr>
        <w:t xml:space="preserve">  </w:t>
      </w:r>
      <w:r w:rsidR="00DB69C5">
        <w:rPr>
          <w:rFonts w:eastAsia="Calibri" w:cs="Arial"/>
        </w:rPr>
        <w:t>For</w:t>
      </w:r>
      <w:r w:rsidR="00A51577">
        <w:rPr>
          <w:rFonts w:eastAsia="Calibri" w:cs="Arial"/>
        </w:rPr>
        <w:t xml:space="preserve"> </w:t>
      </w:r>
      <w:r w:rsidR="00350407" w:rsidRPr="00D967D6">
        <w:rPr>
          <w:rFonts w:eastAsia="Calibri" w:cs="Arial"/>
          <w:b/>
          <w:bCs/>
        </w:rPr>
        <w:t>70 to 74 year-olds</w:t>
      </w:r>
      <w:r w:rsidR="00350407">
        <w:rPr>
          <w:rFonts w:eastAsia="Calibri" w:cs="Arial"/>
        </w:rPr>
        <w:t xml:space="preserve">, </w:t>
      </w:r>
      <w:r w:rsidR="00DB69C5">
        <w:rPr>
          <w:rFonts w:eastAsia="Calibri" w:cs="Arial"/>
        </w:rPr>
        <w:t xml:space="preserve">women’s </w:t>
      </w:r>
      <w:r w:rsidR="009E2629">
        <w:rPr>
          <w:rFonts w:eastAsia="Calibri" w:cs="Arial"/>
        </w:rPr>
        <w:t>employment rates had by 2023 exceeded the 2019 level, and continue to vigorously rise</w:t>
      </w:r>
      <w:r w:rsidR="0001792C">
        <w:rPr>
          <w:rFonts w:eastAsia="Calibri" w:cs="Arial"/>
        </w:rPr>
        <w:t xml:space="preserve">.  By contrast, men’s 2023 level remained well below that of 2019, and </w:t>
      </w:r>
      <w:r w:rsidR="009E61B7">
        <w:rPr>
          <w:rFonts w:eastAsia="Calibri" w:cs="Arial"/>
        </w:rPr>
        <w:t xml:space="preserve">there was no increase between 2022 and 2023. </w:t>
      </w:r>
      <w:r w:rsidR="00B17DDA">
        <w:rPr>
          <w:rFonts w:eastAsia="Calibri" w:cs="Arial"/>
        </w:rPr>
        <w:t xml:space="preserve"> The effect of the pandemic seems most clear among both women and men for those </w:t>
      </w:r>
      <w:r w:rsidR="001D7E87" w:rsidRPr="001F7AEB">
        <w:rPr>
          <w:rFonts w:eastAsia="Calibri" w:cs="Arial"/>
          <w:b/>
          <w:bCs/>
        </w:rPr>
        <w:t>75 and older</w:t>
      </w:r>
      <w:r w:rsidR="002307BB">
        <w:rPr>
          <w:rFonts w:eastAsia="Calibri" w:cs="Arial"/>
        </w:rPr>
        <w:t xml:space="preserve">, as employment rates remain below 2019 levels through </w:t>
      </w:r>
      <w:r w:rsidR="00261900">
        <w:rPr>
          <w:rFonts w:eastAsia="Calibri" w:cs="Arial"/>
        </w:rPr>
        <w:t>2023, and only for women in 2023 did a tiny increase occur</w:t>
      </w:r>
      <w:r w:rsidR="00CE667C">
        <w:rPr>
          <w:rFonts w:eastAsia="Calibri" w:cs="Arial"/>
        </w:rPr>
        <w:t>.  Through 2022 for women, and 2023 for men, employment rates</w:t>
      </w:r>
      <w:r w:rsidR="002228B6">
        <w:rPr>
          <w:rFonts w:eastAsia="Calibri" w:cs="Arial"/>
        </w:rPr>
        <w:t xml:space="preserve"> for this age group continued to drop.  </w:t>
      </w:r>
      <w:r w:rsidR="00DA093F">
        <w:rPr>
          <w:rFonts w:eastAsia="Calibri" w:cs="Arial"/>
        </w:rPr>
        <w:t xml:space="preserve">As is shown by the colored table </w:t>
      </w:r>
      <w:r w:rsidR="00794246">
        <w:rPr>
          <w:rFonts w:eastAsia="Calibri" w:cs="Arial"/>
        </w:rPr>
        <w:t xml:space="preserve">below, disability rates </w:t>
      </w:r>
      <w:r w:rsidR="00CB55C0">
        <w:rPr>
          <w:rFonts w:eastAsia="Calibri" w:cs="Arial"/>
        </w:rPr>
        <w:t xml:space="preserve">for both men and women appear to no longer be increasing in </w:t>
      </w:r>
      <w:r w:rsidR="006F62D9">
        <w:rPr>
          <w:rFonts w:eastAsia="Calibri" w:cs="Arial"/>
        </w:rPr>
        <w:t xml:space="preserve">2023 for this age group.  This perhaps means that fear of coronavirus, rather than actual disability or deaths (which have been declining), </w:t>
      </w:r>
      <w:r w:rsidR="00C842B7">
        <w:rPr>
          <w:rFonts w:eastAsia="Calibri" w:cs="Arial"/>
        </w:rPr>
        <w:t xml:space="preserve">is driving the reduction in employment at this point.  </w:t>
      </w:r>
      <w:r w:rsidR="00012A06">
        <w:rPr>
          <w:rFonts w:eastAsia="Calibri" w:cs="Arial"/>
        </w:rPr>
        <w:t xml:space="preserve">If both death and disability rates remain stable or decline, this may prompt a return to the previous pattern of </w:t>
      </w:r>
      <w:r w:rsidR="00011E7A">
        <w:rPr>
          <w:rFonts w:eastAsia="Calibri" w:cs="Arial"/>
        </w:rPr>
        <w:t xml:space="preserve">rising employment rates for this group of the oldest of the elderly.  </w:t>
      </w:r>
      <w:r w:rsidR="009E61B7">
        <w:rPr>
          <w:rFonts w:eastAsia="Calibri" w:cs="Arial"/>
        </w:rPr>
        <w:t xml:space="preserve"> </w:t>
      </w:r>
    </w:p>
    <w:p w14:paraId="307347B9" w14:textId="77777777" w:rsidR="00705DE4" w:rsidRPr="003D3F7A" w:rsidRDefault="00705DE4" w:rsidP="00B20EE3">
      <w:pPr>
        <w:rPr>
          <w:rFonts w:eastAsia="Calibri" w:cs="Arial"/>
        </w:rPr>
      </w:pPr>
    </w:p>
    <w:p w14:paraId="1C10551B" w14:textId="77777777" w:rsidR="00705DE4" w:rsidRPr="00B20EE3" w:rsidRDefault="00705DE4" w:rsidP="00B20EE3">
      <w:pPr>
        <w:rPr>
          <w:rFonts w:eastAsia="Calibri" w:cs="Arial"/>
        </w:rPr>
      </w:pPr>
    </w:p>
    <w:p w14:paraId="3486BF7B" w14:textId="77777777" w:rsidR="001124E5" w:rsidRDefault="001124E5">
      <w:r>
        <w:br w:type="page"/>
      </w:r>
    </w:p>
    <w:tbl>
      <w:tblPr>
        <w:tblStyle w:val="TableGrid"/>
        <w:tblW w:w="0" w:type="auto"/>
        <w:tblLook w:val="04A0" w:firstRow="1" w:lastRow="0" w:firstColumn="1" w:lastColumn="0" w:noHBand="0" w:noVBand="1"/>
      </w:tblPr>
      <w:tblGrid>
        <w:gridCol w:w="1705"/>
        <w:gridCol w:w="745"/>
        <w:gridCol w:w="155"/>
        <w:gridCol w:w="655"/>
        <w:gridCol w:w="245"/>
        <w:gridCol w:w="4230"/>
        <w:gridCol w:w="90"/>
        <w:gridCol w:w="2965"/>
        <w:gridCol w:w="25"/>
      </w:tblGrid>
      <w:tr w:rsidR="00B20EE3" w:rsidRPr="00B20EE3" w14:paraId="6703AC84" w14:textId="77777777" w:rsidTr="00391F41">
        <w:trPr>
          <w:cantSplit/>
          <w:tblHeader/>
        </w:trPr>
        <w:tc>
          <w:tcPr>
            <w:tcW w:w="1705" w:type="dxa"/>
            <w:vAlign w:val="center"/>
          </w:tcPr>
          <w:p w14:paraId="6D5C2195" w14:textId="0FD9E083"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lastRenderedPageBreak/>
              <w:t>Age group (men and women)</w:t>
            </w:r>
          </w:p>
        </w:tc>
        <w:tc>
          <w:tcPr>
            <w:tcW w:w="1555" w:type="dxa"/>
            <w:gridSpan w:val="3"/>
            <w:vAlign w:val="center"/>
          </w:tcPr>
          <w:p w14:paraId="0281401A" w14:textId="77777777"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t>Employment to population ratio (%)</w:t>
            </w:r>
          </w:p>
        </w:tc>
        <w:tc>
          <w:tcPr>
            <w:tcW w:w="4565" w:type="dxa"/>
            <w:gridSpan w:val="3"/>
            <w:vAlign w:val="center"/>
          </w:tcPr>
          <w:p w14:paraId="3384D95F" w14:textId="77777777"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t xml:space="preserve">Conclusions </w:t>
            </w:r>
          </w:p>
        </w:tc>
        <w:tc>
          <w:tcPr>
            <w:tcW w:w="2990" w:type="dxa"/>
            <w:gridSpan w:val="2"/>
            <w:vAlign w:val="center"/>
          </w:tcPr>
          <w:p w14:paraId="0A93E6A3" w14:textId="77777777"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t>Trends</w:t>
            </w:r>
          </w:p>
        </w:tc>
      </w:tr>
      <w:tr w:rsidR="00B20EE3" w:rsidRPr="00B20EE3" w14:paraId="15BA230E" w14:textId="77777777" w:rsidTr="00391F41">
        <w:trPr>
          <w:cantSplit/>
        </w:trPr>
        <w:tc>
          <w:tcPr>
            <w:tcW w:w="1705" w:type="dxa"/>
            <w:vAlign w:val="center"/>
          </w:tcPr>
          <w:p w14:paraId="12FE31BA" w14:textId="77777777" w:rsidR="00B20EE3" w:rsidRPr="00B20EE3" w:rsidRDefault="00B20EE3" w:rsidP="00B20EE3">
            <w:pPr>
              <w:rPr>
                <w:rFonts w:ascii="Arial" w:eastAsia="Calibri" w:hAnsi="Arial" w:cs="Arial"/>
                <w:b/>
                <w:bCs/>
                <w:color w:val="44546A"/>
              </w:rPr>
            </w:pPr>
          </w:p>
        </w:tc>
        <w:tc>
          <w:tcPr>
            <w:tcW w:w="745" w:type="dxa"/>
            <w:vAlign w:val="center"/>
          </w:tcPr>
          <w:p w14:paraId="3CC66405" w14:textId="77777777"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t>2019</w:t>
            </w:r>
          </w:p>
        </w:tc>
        <w:tc>
          <w:tcPr>
            <w:tcW w:w="810" w:type="dxa"/>
            <w:gridSpan w:val="2"/>
            <w:vAlign w:val="center"/>
          </w:tcPr>
          <w:p w14:paraId="21F7D72E" w14:textId="77777777"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t>2023</w:t>
            </w:r>
          </w:p>
        </w:tc>
        <w:tc>
          <w:tcPr>
            <w:tcW w:w="4565" w:type="dxa"/>
            <w:gridSpan w:val="3"/>
            <w:vAlign w:val="center"/>
          </w:tcPr>
          <w:p w14:paraId="3C06BE80" w14:textId="77777777" w:rsidR="00B20EE3" w:rsidRPr="00B20EE3" w:rsidRDefault="00B20EE3" w:rsidP="00B20EE3">
            <w:pPr>
              <w:jc w:val="right"/>
              <w:rPr>
                <w:rFonts w:ascii="Arial" w:eastAsia="Calibri" w:hAnsi="Arial" w:cs="Arial"/>
                <w:b/>
                <w:bCs/>
                <w:color w:val="44546A"/>
              </w:rPr>
            </w:pPr>
          </w:p>
        </w:tc>
        <w:tc>
          <w:tcPr>
            <w:tcW w:w="2990" w:type="dxa"/>
            <w:gridSpan w:val="2"/>
            <w:vAlign w:val="center"/>
          </w:tcPr>
          <w:p w14:paraId="69C71694" w14:textId="77777777" w:rsidR="00B20EE3" w:rsidRPr="00B20EE3" w:rsidRDefault="00B20EE3" w:rsidP="00B20EE3">
            <w:pPr>
              <w:jc w:val="right"/>
              <w:rPr>
                <w:rFonts w:ascii="Arial" w:eastAsia="Calibri" w:hAnsi="Arial" w:cs="Arial"/>
                <w:b/>
                <w:bCs/>
                <w:color w:val="44546A"/>
              </w:rPr>
            </w:pPr>
          </w:p>
        </w:tc>
      </w:tr>
      <w:tr w:rsidR="00B20EE3" w:rsidRPr="00B20EE3" w14:paraId="6607AFBB" w14:textId="77777777" w:rsidTr="001124E5">
        <w:trPr>
          <w:cantSplit/>
        </w:trPr>
        <w:tc>
          <w:tcPr>
            <w:tcW w:w="1705" w:type="dxa"/>
            <w:vAlign w:val="center"/>
          </w:tcPr>
          <w:p w14:paraId="20DF8A28" w14:textId="77777777" w:rsidR="00B20EE3" w:rsidRPr="00B20EE3" w:rsidRDefault="00B20EE3" w:rsidP="00B20EE3">
            <w:pPr>
              <w:rPr>
                <w:rFonts w:ascii="Arial" w:eastAsia="Calibri" w:hAnsi="Arial" w:cs="Arial"/>
                <w:b/>
                <w:bCs/>
                <w:color w:val="00B050"/>
              </w:rPr>
            </w:pPr>
            <w:r w:rsidRPr="00B20EE3">
              <w:rPr>
                <w:rFonts w:ascii="Arial" w:eastAsia="Calibri" w:hAnsi="Arial" w:cs="Arial"/>
                <w:b/>
                <w:bCs/>
                <w:color w:val="00B050"/>
              </w:rPr>
              <w:t>Generally pre-retirement ages</w:t>
            </w:r>
          </w:p>
        </w:tc>
        <w:tc>
          <w:tcPr>
            <w:tcW w:w="745" w:type="dxa"/>
            <w:vAlign w:val="center"/>
          </w:tcPr>
          <w:p w14:paraId="3AC3F19B" w14:textId="77777777" w:rsidR="00B20EE3" w:rsidRPr="00B20EE3" w:rsidRDefault="00B20EE3" w:rsidP="00B20EE3">
            <w:pPr>
              <w:jc w:val="right"/>
              <w:rPr>
                <w:rFonts w:ascii="Arial" w:eastAsia="Calibri" w:hAnsi="Arial" w:cs="Arial"/>
                <w:color w:val="44546A"/>
              </w:rPr>
            </w:pPr>
          </w:p>
        </w:tc>
        <w:tc>
          <w:tcPr>
            <w:tcW w:w="810" w:type="dxa"/>
            <w:gridSpan w:val="2"/>
            <w:vAlign w:val="center"/>
          </w:tcPr>
          <w:p w14:paraId="0A188F51" w14:textId="77777777" w:rsidR="00B20EE3" w:rsidRPr="00B20EE3" w:rsidRDefault="00B20EE3" w:rsidP="00B20EE3">
            <w:pPr>
              <w:jc w:val="right"/>
              <w:rPr>
                <w:rFonts w:ascii="Arial" w:eastAsia="Calibri" w:hAnsi="Arial" w:cs="Arial"/>
                <w:color w:val="44546A"/>
              </w:rPr>
            </w:pPr>
          </w:p>
        </w:tc>
        <w:tc>
          <w:tcPr>
            <w:tcW w:w="7555" w:type="dxa"/>
            <w:gridSpan w:val="5"/>
            <w:vAlign w:val="center"/>
          </w:tcPr>
          <w:p w14:paraId="6B3EDF41"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 xml:space="preserve">The earliest SS retirement age is 62, although there’s a financial penalty for early retirement.  Individuals can also effectively retire via receipt of one of the SS disability benefit problems (Disability Insurance or Supplemental Security Income).  Note that many individuals retire at these ages, usually because of ill health or disability. </w:t>
            </w:r>
          </w:p>
        </w:tc>
      </w:tr>
      <w:tr w:rsidR="00B20EE3" w:rsidRPr="00B20EE3" w14:paraId="51BECC58" w14:textId="77777777" w:rsidTr="00391F41">
        <w:trPr>
          <w:cantSplit/>
        </w:trPr>
        <w:tc>
          <w:tcPr>
            <w:tcW w:w="1705" w:type="dxa"/>
            <w:vAlign w:val="center"/>
          </w:tcPr>
          <w:p w14:paraId="4FED8128"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44546A"/>
              </w:rPr>
              <w:t>55 to 59</w:t>
            </w:r>
          </w:p>
        </w:tc>
        <w:tc>
          <w:tcPr>
            <w:tcW w:w="745" w:type="dxa"/>
            <w:vAlign w:val="center"/>
          </w:tcPr>
          <w:p w14:paraId="6580CEC5"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71.0</w:t>
            </w:r>
          </w:p>
        </w:tc>
        <w:tc>
          <w:tcPr>
            <w:tcW w:w="810" w:type="dxa"/>
            <w:gridSpan w:val="2"/>
            <w:vAlign w:val="center"/>
          </w:tcPr>
          <w:p w14:paraId="19894358"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71.9</w:t>
            </w:r>
          </w:p>
        </w:tc>
        <w:tc>
          <w:tcPr>
            <w:tcW w:w="4565" w:type="dxa"/>
            <w:gridSpan w:val="3"/>
            <w:vAlign w:val="center"/>
          </w:tcPr>
          <w:p w14:paraId="41E95066"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2019 level slightly surpassed by 2022</w:t>
            </w:r>
          </w:p>
        </w:tc>
        <w:tc>
          <w:tcPr>
            <w:tcW w:w="2990" w:type="dxa"/>
            <w:gridSpan w:val="2"/>
            <w:vAlign w:val="center"/>
          </w:tcPr>
          <w:p w14:paraId="2EBE3332"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Continuing to vigorously rise</w:t>
            </w:r>
          </w:p>
        </w:tc>
      </w:tr>
      <w:tr w:rsidR="00B20EE3" w:rsidRPr="00B20EE3" w14:paraId="2CFDB8E3" w14:textId="77777777" w:rsidTr="00391F41">
        <w:trPr>
          <w:cantSplit/>
        </w:trPr>
        <w:tc>
          <w:tcPr>
            <w:tcW w:w="1705" w:type="dxa"/>
            <w:vAlign w:val="center"/>
          </w:tcPr>
          <w:p w14:paraId="1FB23B3D"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44546A"/>
              </w:rPr>
              <w:t>60 to 64</w:t>
            </w:r>
          </w:p>
        </w:tc>
        <w:tc>
          <w:tcPr>
            <w:tcW w:w="745" w:type="dxa"/>
            <w:vAlign w:val="center"/>
          </w:tcPr>
          <w:p w14:paraId="139762E3"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56.0</w:t>
            </w:r>
          </w:p>
        </w:tc>
        <w:tc>
          <w:tcPr>
            <w:tcW w:w="810" w:type="dxa"/>
            <w:gridSpan w:val="2"/>
            <w:vAlign w:val="center"/>
          </w:tcPr>
          <w:p w14:paraId="31B95C22"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56.7</w:t>
            </w:r>
          </w:p>
        </w:tc>
        <w:tc>
          <w:tcPr>
            <w:tcW w:w="4565" w:type="dxa"/>
            <w:gridSpan w:val="3"/>
            <w:vAlign w:val="center"/>
          </w:tcPr>
          <w:p w14:paraId="2F104AA3"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2019 level matched by 2022</w:t>
            </w:r>
          </w:p>
        </w:tc>
        <w:tc>
          <w:tcPr>
            <w:tcW w:w="2990" w:type="dxa"/>
            <w:gridSpan w:val="2"/>
            <w:vAlign w:val="center"/>
          </w:tcPr>
          <w:p w14:paraId="1F0C113B"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Continuing to vigorously rise</w:t>
            </w:r>
          </w:p>
        </w:tc>
      </w:tr>
      <w:tr w:rsidR="00B20EE3" w:rsidRPr="00B20EE3" w14:paraId="2DDDB97F" w14:textId="77777777" w:rsidTr="001124E5">
        <w:trPr>
          <w:cantSplit/>
        </w:trPr>
        <w:tc>
          <w:tcPr>
            <w:tcW w:w="1705" w:type="dxa"/>
            <w:vAlign w:val="center"/>
          </w:tcPr>
          <w:p w14:paraId="1CAA95A3" w14:textId="77777777" w:rsidR="00B20EE3" w:rsidRPr="00B20EE3" w:rsidRDefault="00B20EE3" w:rsidP="00B20EE3">
            <w:pPr>
              <w:rPr>
                <w:rFonts w:ascii="Arial" w:eastAsia="Calibri" w:hAnsi="Arial" w:cs="Arial"/>
                <w:b/>
                <w:bCs/>
                <w:color w:val="00B050"/>
              </w:rPr>
            </w:pPr>
            <w:r w:rsidRPr="00B20EE3">
              <w:rPr>
                <w:rFonts w:ascii="Arial" w:eastAsia="Calibri" w:hAnsi="Arial" w:cs="Arial"/>
                <w:b/>
                <w:bCs/>
                <w:color w:val="00B050"/>
              </w:rPr>
              <w:t>Typical Social Security retirement ages</w:t>
            </w:r>
          </w:p>
        </w:tc>
        <w:tc>
          <w:tcPr>
            <w:tcW w:w="745" w:type="dxa"/>
            <w:vAlign w:val="center"/>
          </w:tcPr>
          <w:p w14:paraId="573B5865" w14:textId="77777777" w:rsidR="00B20EE3" w:rsidRPr="00B20EE3" w:rsidRDefault="00B20EE3" w:rsidP="00B20EE3">
            <w:pPr>
              <w:jc w:val="right"/>
              <w:rPr>
                <w:rFonts w:ascii="Arial" w:eastAsia="Calibri" w:hAnsi="Arial" w:cs="Arial"/>
                <w:color w:val="44546A"/>
              </w:rPr>
            </w:pPr>
          </w:p>
        </w:tc>
        <w:tc>
          <w:tcPr>
            <w:tcW w:w="810" w:type="dxa"/>
            <w:gridSpan w:val="2"/>
            <w:vAlign w:val="center"/>
          </w:tcPr>
          <w:p w14:paraId="1ABAEDCA" w14:textId="77777777" w:rsidR="00B20EE3" w:rsidRPr="00B20EE3" w:rsidRDefault="00B20EE3" w:rsidP="00B20EE3">
            <w:pPr>
              <w:jc w:val="right"/>
              <w:rPr>
                <w:rFonts w:ascii="Arial" w:eastAsia="Calibri" w:hAnsi="Arial" w:cs="Arial"/>
                <w:color w:val="44546A"/>
              </w:rPr>
            </w:pPr>
          </w:p>
        </w:tc>
        <w:tc>
          <w:tcPr>
            <w:tcW w:w="7555" w:type="dxa"/>
            <w:gridSpan w:val="5"/>
            <w:vAlign w:val="center"/>
          </w:tcPr>
          <w:p w14:paraId="104122B8"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The SS retirement age with no penalty is now 67 for new retirees, and after that age individuals receive a bonus for delaying their retirement for ages 68 through 72, but no bonus for retiring later than age 72.</w:t>
            </w:r>
          </w:p>
        </w:tc>
      </w:tr>
      <w:tr w:rsidR="00B20EE3" w:rsidRPr="00B20EE3" w14:paraId="66908426" w14:textId="77777777" w:rsidTr="00391F41">
        <w:trPr>
          <w:cantSplit/>
        </w:trPr>
        <w:tc>
          <w:tcPr>
            <w:tcW w:w="1705" w:type="dxa"/>
            <w:vAlign w:val="center"/>
          </w:tcPr>
          <w:p w14:paraId="2E221002"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44546A"/>
              </w:rPr>
              <w:t>65 to 69</w:t>
            </w:r>
          </w:p>
        </w:tc>
        <w:tc>
          <w:tcPr>
            <w:tcW w:w="745" w:type="dxa"/>
            <w:vAlign w:val="center"/>
          </w:tcPr>
          <w:p w14:paraId="6BCCF284"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33.3</w:t>
            </w:r>
          </w:p>
        </w:tc>
        <w:tc>
          <w:tcPr>
            <w:tcW w:w="810" w:type="dxa"/>
            <w:gridSpan w:val="2"/>
            <w:vAlign w:val="center"/>
          </w:tcPr>
          <w:p w14:paraId="3080B155"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32.4</w:t>
            </w:r>
          </w:p>
        </w:tc>
        <w:tc>
          <w:tcPr>
            <w:tcW w:w="4565" w:type="dxa"/>
            <w:gridSpan w:val="3"/>
            <w:vAlign w:val="center"/>
          </w:tcPr>
          <w:p w14:paraId="541FDBA0"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Apparently clear pandemic effect of withdrawing from the labor force</w:t>
            </w:r>
          </w:p>
        </w:tc>
        <w:tc>
          <w:tcPr>
            <w:tcW w:w="2990" w:type="dxa"/>
            <w:gridSpan w:val="2"/>
            <w:vAlign w:val="center"/>
          </w:tcPr>
          <w:p w14:paraId="6539697B"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2022 and 2023 levels were identical (i.e., no trend)</w:t>
            </w:r>
          </w:p>
        </w:tc>
      </w:tr>
      <w:tr w:rsidR="00B20EE3" w:rsidRPr="00B20EE3" w14:paraId="6A0348FA" w14:textId="77777777" w:rsidTr="00391F41">
        <w:trPr>
          <w:cantSplit/>
        </w:trPr>
        <w:tc>
          <w:tcPr>
            <w:tcW w:w="1705" w:type="dxa"/>
            <w:vAlign w:val="center"/>
          </w:tcPr>
          <w:p w14:paraId="512A984B"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00B050"/>
              </w:rPr>
              <w:t>Typical post-retirement ages</w:t>
            </w:r>
          </w:p>
        </w:tc>
        <w:tc>
          <w:tcPr>
            <w:tcW w:w="745" w:type="dxa"/>
            <w:vAlign w:val="center"/>
          </w:tcPr>
          <w:p w14:paraId="6A216410" w14:textId="77777777" w:rsidR="00B20EE3" w:rsidRPr="00B20EE3" w:rsidRDefault="00B20EE3" w:rsidP="00B20EE3">
            <w:pPr>
              <w:jc w:val="right"/>
              <w:rPr>
                <w:rFonts w:ascii="Arial" w:eastAsia="Calibri" w:hAnsi="Arial" w:cs="Arial"/>
                <w:color w:val="44546A"/>
              </w:rPr>
            </w:pPr>
          </w:p>
        </w:tc>
        <w:tc>
          <w:tcPr>
            <w:tcW w:w="810" w:type="dxa"/>
            <w:gridSpan w:val="2"/>
            <w:vAlign w:val="center"/>
          </w:tcPr>
          <w:p w14:paraId="1E08AC75" w14:textId="77777777" w:rsidR="00B20EE3" w:rsidRPr="00B20EE3" w:rsidRDefault="00B20EE3" w:rsidP="00B20EE3">
            <w:pPr>
              <w:jc w:val="right"/>
              <w:rPr>
                <w:rFonts w:ascii="Arial" w:eastAsia="Calibri" w:hAnsi="Arial" w:cs="Arial"/>
                <w:color w:val="44546A"/>
              </w:rPr>
            </w:pPr>
          </w:p>
        </w:tc>
        <w:tc>
          <w:tcPr>
            <w:tcW w:w="4565" w:type="dxa"/>
            <w:gridSpan w:val="3"/>
            <w:vAlign w:val="center"/>
          </w:tcPr>
          <w:p w14:paraId="4DCCB488" w14:textId="77777777" w:rsidR="00B20EE3" w:rsidRPr="00B20EE3" w:rsidRDefault="00B20EE3" w:rsidP="00B20EE3">
            <w:pPr>
              <w:jc w:val="right"/>
              <w:rPr>
                <w:rFonts w:ascii="Arial" w:eastAsia="Calibri" w:hAnsi="Arial" w:cs="Arial"/>
                <w:color w:val="44546A"/>
              </w:rPr>
            </w:pPr>
          </w:p>
        </w:tc>
        <w:tc>
          <w:tcPr>
            <w:tcW w:w="2990" w:type="dxa"/>
            <w:gridSpan w:val="2"/>
            <w:vAlign w:val="center"/>
          </w:tcPr>
          <w:p w14:paraId="4136AFCE" w14:textId="77777777" w:rsidR="00B20EE3" w:rsidRPr="00B20EE3" w:rsidRDefault="00B20EE3" w:rsidP="00B20EE3">
            <w:pPr>
              <w:jc w:val="right"/>
              <w:rPr>
                <w:rFonts w:ascii="Arial" w:eastAsia="Calibri" w:hAnsi="Arial" w:cs="Arial"/>
                <w:color w:val="44546A"/>
              </w:rPr>
            </w:pPr>
          </w:p>
        </w:tc>
      </w:tr>
      <w:tr w:rsidR="00B20EE3" w:rsidRPr="00B20EE3" w14:paraId="119804F3" w14:textId="77777777" w:rsidTr="00C45B28">
        <w:trPr>
          <w:cantSplit/>
        </w:trPr>
        <w:tc>
          <w:tcPr>
            <w:tcW w:w="1705" w:type="dxa"/>
            <w:tcBorders>
              <w:bottom w:val="single" w:sz="4" w:space="0" w:color="auto"/>
            </w:tcBorders>
            <w:vAlign w:val="center"/>
          </w:tcPr>
          <w:p w14:paraId="1B13822E"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44546A"/>
              </w:rPr>
              <w:t>70 to 74</w:t>
            </w:r>
          </w:p>
        </w:tc>
        <w:tc>
          <w:tcPr>
            <w:tcW w:w="745" w:type="dxa"/>
            <w:tcBorders>
              <w:bottom w:val="single" w:sz="4" w:space="0" w:color="auto"/>
            </w:tcBorders>
            <w:vAlign w:val="center"/>
          </w:tcPr>
          <w:p w14:paraId="5675CCA4"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19.1</w:t>
            </w:r>
          </w:p>
        </w:tc>
        <w:tc>
          <w:tcPr>
            <w:tcW w:w="810" w:type="dxa"/>
            <w:gridSpan w:val="2"/>
            <w:tcBorders>
              <w:bottom w:val="single" w:sz="4" w:space="0" w:color="auto"/>
            </w:tcBorders>
            <w:vAlign w:val="center"/>
          </w:tcPr>
          <w:p w14:paraId="003896AF"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18.6</w:t>
            </w:r>
          </w:p>
        </w:tc>
        <w:tc>
          <w:tcPr>
            <w:tcW w:w="4565" w:type="dxa"/>
            <w:gridSpan w:val="3"/>
            <w:tcBorders>
              <w:bottom w:val="single" w:sz="4" w:space="0" w:color="auto"/>
            </w:tcBorders>
            <w:vAlign w:val="center"/>
          </w:tcPr>
          <w:p w14:paraId="15F968A8"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Still significantly below pre-pandemic level, but effect may be temporary</w:t>
            </w:r>
          </w:p>
        </w:tc>
        <w:tc>
          <w:tcPr>
            <w:tcW w:w="2990" w:type="dxa"/>
            <w:gridSpan w:val="2"/>
            <w:tcBorders>
              <w:bottom w:val="single" w:sz="4" w:space="0" w:color="auto"/>
            </w:tcBorders>
            <w:vAlign w:val="center"/>
          </w:tcPr>
          <w:p w14:paraId="1C30A789"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Continuing to vigorously rise</w:t>
            </w:r>
          </w:p>
        </w:tc>
      </w:tr>
      <w:tr w:rsidR="00B20EE3" w:rsidRPr="00B20EE3" w14:paraId="7406D469" w14:textId="77777777" w:rsidTr="00C45B28">
        <w:trPr>
          <w:cantSplit/>
        </w:trPr>
        <w:tc>
          <w:tcPr>
            <w:tcW w:w="1705" w:type="dxa"/>
            <w:tcBorders>
              <w:bottom w:val="single" w:sz="4" w:space="0" w:color="auto"/>
            </w:tcBorders>
            <w:vAlign w:val="center"/>
          </w:tcPr>
          <w:p w14:paraId="1002A397"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44546A"/>
              </w:rPr>
              <w:t>75 and older</w:t>
            </w:r>
          </w:p>
        </w:tc>
        <w:tc>
          <w:tcPr>
            <w:tcW w:w="745" w:type="dxa"/>
            <w:tcBorders>
              <w:bottom w:val="single" w:sz="4" w:space="0" w:color="auto"/>
            </w:tcBorders>
            <w:vAlign w:val="center"/>
          </w:tcPr>
          <w:p w14:paraId="504A8C01"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8.8</w:t>
            </w:r>
          </w:p>
        </w:tc>
        <w:tc>
          <w:tcPr>
            <w:tcW w:w="810" w:type="dxa"/>
            <w:gridSpan w:val="2"/>
            <w:tcBorders>
              <w:bottom w:val="single" w:sz="4" w:space="0" w:color="auto"/>
            </w:tcBorders>
            <w:vAlign w:val="center"/>
          </w:tcPr>
          <w:p w14:paraId="56E9EC63"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8.0</w:t>
            </w:r>
          </w:p>
        </w:tc>
        <w:tc>
          <w:tcPr>
            <w:tcW w:w="4565" w:type="dxa"/>
            <w:gridSpan w:val="3"/>
            <w:tcBorders>
              <w:bottom w:val="single" w:sz="4" w:space="0" w:color="auto"/>
            </w:tcBorders>
            <w:vAlign w:val="center"/>
          </w:tcPr>
          <w:p w14:paraId="671E6CA0"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Apparently clear pandemic effect of withdrawing from the labor force</w:t>
            </w:r>
          </w:p>
        </w:tc>
        <w:tc>
          <w:tcPr>
            <w:tcW w:w="2990" w:type="dxa"/>
            <w:gridSpan w:val="2"/>
            <w:tcBorders>
              <w:bottom w:val="single" w:sz="4" w:space="0" w:color="auto"/>
            </w:tcBorders>
            <w:vAlign w:val="center"/>
          </w:tcPr>
          <w:p w14:paraId="153A2E17"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2022 and 2023 levels were almost identical (.1% point rise, i.e., no trend)</w:t>
            </w:r>
          </w:p>
        </w:tc>
      </w:tr>
      <w:tr w:rsidR="00F01494" w:rsidRPr="00B20EE3" w14:paraId="56879496" w14:textId="77777777" w:rsidTr="00C45B28">
        <w:trPr>
          <w:cantSplit/>
        </w:trPr>
        <w:tc>
          <w:tcPr>
            <w:tcW w:w="1705" w:type="dxa"/>
            <w:tcBorders>
              <w:top w:val="single" w:sz="4" w:space="0" w:color="auto"/>
              <w:left w:val="nil"/>
              <w:bottom w:val="nil"/>
              <w:right w:val="nil"/>
            </w:tcBorders>
          </w:tcPr>
          <w:p w14:paraId="59B8D065" w14:textId="77777777" w:rsidR="00F01494" w:rsidRDefault="00F01494" w:rsidP="00F01494">
            <w:pPr>
              <w:rPr>
                <w:rFonts w:eastAsia="Calibri" w:cs="Arial"/>
                <w:b/>
                <w:bCs/>
                <w:color w:val="44546A"/>
              </w:rPr>
            </w:pPr>
          </w:p>
          <w:p w14:paraId="31D1B2E3" w14:textId="77777777" w:rsidR="0097145A" w:rsidRDefault="0097145A" w:rsidP="00F01494">
            <w:pPr>
              <w:rPr>
                <w:rFonts w:eastAsia="Calibri" w:cs="Arial"/>
                <w:b/>
                <w:bCs/>
                <w:color w:val="44546A"/>
              </w:rPr>
            </w:pPr>
          </w:p>
          <w:p w14:paraId="30DFCB2C" w14:textId="77777777" w:rsidR="0097145A" w:rsidRPr="00B20EE3" w:rsidRDefault="0097145A" w:rsidP="00F01494">
            <w:pPr>
              <w:rPr>
                <w:rFonts w:eastAsia="Calibri" w:cs="Arial"/>
                <w:b/>
                <w:bCs/>
                <w:color w:val="44546A"/>
              </w:rPr>
            </w:pPr>
          </w:p>
        </w:tc>
        <w:tc>
          <w:tcPr>
            <w:tcW w:w="745" w:type="dxa"/>
            <w:tcBorders>
              <w:top w:val="single" w:sz="4" w:space="0" w:color="auto"/>
              <w:left w:val="nil"/>
              <w:bottom w:val="nil"/>
              <w:right w:val="nil"/>
            </w:tcBorders>
          </w:tcPr>
          <w:p w14:paraId="148214BA" w14:textId="77777777" w:rsidR="00F01494" w:rsidRPr="00B20EE3" w:rsidRDefault="00F01494" w:rsidP="00F01494">
            <w:pPr>
              <w:jc w:val="right"/>
              <w:rPr>
                <w:rFonts w:eastAsia="Calibri" w:cs="Arial"/>
                <w:color w:val="44546A"/>
              </w:rPr>
            </w:pPr>
          </w:p>
        </w:tc>
        <w:tc>
          <w:tcPr>
            <w:tcW w:w="810" w:type="dxa"/>
            <w:gridSpan w:val="2"/>
            <w:tcBorders>
              <w:top w:val="single" w:sz="4" w:space="0" w:color="auto"/>
              <w:left w:val="nil"/>
              <w:bottom w:val="nil"/>
              <w:right w:val="nil"/>
            </w:tcBorders>
          </w:tcPr>
          <w:p w14:paraId="5D61F0D2" w14:textId="77777777" w:rsidR="00F01494" w:rsidRPr="00B20EE3" w:rsidRDefault="00F01494" w:rsidP="00F01494">
            <w:pPr>
              <w:jc w:val="right"/>
              <w:rPr>
                <w:rFonts w:eastAsia="Calibri" w:cs="Arial"/>
                <w:color w:val="44546A"/>
              </w:rPr>
            </w:pPr>
          </w:p>
        </w:tc>
        <w:tc>
          <w:tcPr>
            <w:tcW w:w="4565" w:type="dxa"/>
            <w:gridSpan w:val="3"/>
            <w:tcBorders>
              <w:top w:val="single" w:sz="4" w:space="0" w:color="auto"/>
              <w:left w:val="nil"/>
              <w:bottom w:val="nil"/>
              <w:right w:val="nil"/>
            </w:tcBorders>
          </w:tcPr>
          <w:p w14:paraId="11608C8C" w14:textId="77777777" w:rsidR="00F01494" w:rsidRPr="00B20EE3" w:rsidRDefault="00F01494" w:rsidP="00F01494">
            <w:pPr>
              <w:jc w:val="right"/>
              <w:rPr>
                <w:rFonts w:eastAsia="Calibri" w:cs="Arial"/>
                <w:color w:val="44546A"/>
              </w:rPr>
            </w:pPr>
          </w:p>
        </w:tc>
        <w:tc>
          <w:tcPr>
            <w:tcW w:w="2990" w:type="dxa"/>
            <w:gridSpan w:val="2"/>
            <w:tcBorders>
              <w:top w:val="single" w:sz="4" w:space="0" w:color="auto"/>
              <w:left w:val="nil"/>
              <w:bottom w:val="nil"/>
              <w:right w:val="nil"/>
            </w:tcBorders>
          </w:tcPr>
          <w:p w14:paraId="3FFC8BAF" w14:textId="77777777" w:rsidR="00F01494" w:rsidRPr="00B20EE3" w:rsidRDefault="00F01494" w:rsidP="00F01494">
            <w:pPr>
              <w:jc w:val="right"/>
              <w:rPr>
                <w:rFonts w:eastAsia="Calibri" w:cs="Arial"/>
                <w:color w:val="44546A"/>
              </w:rPr>
            </w:pPr>
          </w:p>
        </w:tc>
      </w:tr>
      <w:tr w:rsidR="00B20EE3" w:rsidRPr="00B20EE3" w14:paraId="452D5466" w14:textId="77777777" w:rsidTr="0097145A">
        <w:trPr>
          <w:gridAfter w:val="1"/>
          <w:wAfter w:w="25" w:type="dxa"/>
          <w:cantSplit/>
          <w:tblHeader/>
        </w:trPr>
        <w:tc>
          <w:tcPr>
            <w:tcW w:w="1705" w:type="dxa"/>
            <w:vAlign w:val="center"/>
          </w:tcPr>
          <w:p w14:paraId="5C1CCA8E" w14:textId="77777777"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t>Age group (</w:t>
            </w:r>
            <w:r w:rsidRPr="00B20EE3">
              <w:rPr>
                <w:rFonts w:ascii="Arial" w:eastAsia="Calibri" w:hAnsi="Arial" w:cs="Arial"/>
                <w:b/>
                <w:bCs/>
                <w:color w:val="0070C0"/>
              </w:rPr>
              <w:t>men</w:t>
            </w:r>
            <w:r w:rsidRPr="00B20EE3">
              <w:rPr>
                <w:rFonts w:ascii="Arial" w:eastAsia="Calibri" w:hAnsi="Arial" w:cs="Arial"/>
                <w:b/>
                <w:bCs/>
                <w:color w:val="44546A"/>
              </w:rPr>
              <w:t>)</w:t>
            </w:r>
          </w:p>
        </w:tc>
        <w:tc>
          <w:tcPr>
            <w:tcW w:w="1800" w:type="dxa"/>
            <w:gridSpan w:val="4"/>
            <w:vAlign w:val="center"/>
          </w:tcPr>
          <w:p w14:paraId="57939AF4" w14:textId="77777777"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t>Employment to population ratio (%)</w:t>
            </w:r>
          </w:p>
        </w:tc>
        <w:tc>
          <w:tcPr>
            <w:tcW w:w="4230" w:type="dxa"/>
            <w:vAlign w:val="center"/>
          </w:tcPr>
          <w:p w14:paraId="54AC55A9" w14:textId="77777777"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t xml:space="preserve">Conclusions </w:t>
            </w:r>
          </w:p>
        </w:tc>
        <w:tc>
          <w:tcPr>
            <w:tcW w:w="3055" w:type="dxa"/>
            <w:gridSpan w:val="2"/>
            <w:vAlign w:val="center"/>
          </w:tcPr>
          <w:p w14:paraId="725F181F" w14:textId="77777777"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t>Trends</w:t>
            </w:r>
          </w:p>
        </w:tc>
      </w:tr>
      <w:tr w:rsidR="00B20EE3" w:rsidRPr="00B20EE3" w14:paraId="169B2C66" w14:textId="77777777" w:rsidTr="0097145A">
        <w:trPr>
          <w:gridAfter w:val="1"/>
          <w:wAfter w:w="25" w:type="dxa"/>
          <w:cantSplit/>
        </w:trPr>
        <w:tc>
          <w:tcPr>
            <w:tcW w:w="1705" w:type="dxa"/>
            <w:vAlign w:val="center"/>
          </w:tcPr>
          <w:p w14:paraId="770B9FB3" w14:textId="77777777" w:rsidR="00B20EE3" w:rsidRPr="00B20EE3" w:rsidRDefault="00B20EE3" w:rsidP="00B20EE3">
            <w:pPr>
              <w:rPr>
                <w:rFonts w:ascii="Arial" w:eastAsia="Calibri" w:hAnsi="Arial" w:cs="Arial"/>
                <w:b/>
                <w:bCs/>
                <w:color w:val="44546A"/>
              </w:rPr>
            </w:pPr>
          </w:p>
        </w:tc>
        <w:tc>
          <w:tcPr>
            <w:tcW w:w="900" w:type="dxa"/>
            <w:gridSpan w:val="2"/>
            <w:vAlign w:val="center"/>
          </w:tcPr>
          <w:p w14:paraId="13FA7D48" w14:textId="77777777"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t>2019</w:t>
            </w:r>
          </w:p>
        </w:tc>
        <w:tc>
          <w:tcPr>
            <w:tcW w:w="900" w:type="dxa"/>
            <w:gridSpan w:val="2"/>
            <w:vAlign w:val="center"/>
          </w:tcPr>
          <w:p w14:paraId="0BA4F253" w14:textId="77777777"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t>2023</w:t>
            </w:r>
          </w:p>
        </w:tc>
        <w:tc>
          <w:tcPr>
            <w:tcW w:w="4230" w:type="dxa"/>
            <w:vAlign w:val="center"/>
          </w:tcPr>
          <w:p w14:paraId="51F11259" w14:textId="77777777" w:rsidR="00B20EE3" w:rsidRPr="00B20EE3" w:rsidRDefault="00B20EE3" w:rsidP="00B20EE3">
            <w:pPr>
              <w:jc w:val="right"/>
              <w:rPr>
                <w:rFonts w:ascii="Arial" w:eastAsia="Calibri" w:hAnsi="Arial" w:cs="Arial"/>
                <w:b/>
                <w:bCs/>
                <w:color w:val="44546A"/>
              </w:rPr>
            </w:pPr>
          </w:p>
        </w:tc>
        <w:tc>
          <w:tcPr>
            <w:tcW w:w="3055" w:type="dxa"/>
            <w:gridSpan w:val="2"/>
            <w:vAlign w:val="center"/>
          </w:tcPr>
          <w:p w14:paraId="2859C304" w14:textId="77777777" w:rsidR="00B20EE3" w:rsidRPr="00B20EE3" w:rsidRDefault="00B20EE3" w:rsidP="00B20EE3">
            <w:pPr>
              <w:jc w:val="right"/>
              <w:rPr>
                <w:rFonts w:ascii="Arial" w:eastAsia="Calibri" w:hAnsi="Arial" w:cs="Arial"/>
                <w:b/>
                <w:bCs/>
                <w:color w:val="44546A"/>
              </w:rPr>
            </w:pPr>
          </w:p>
        </w:tc>
      </w:tr>
      <w:tr w:rsidR="00B20EE3" w:rsidRPr="00B20EE3" w14:paraId="084688C6" w14:textId="77777777" w:rsidTr="00A91B26">
        <w:trPr>
          <w:gridAfter w:val="1"/>
          <w:wAfter w:w="25" w:type="dxa"/>
          <w:cantSplit/>
        </w:trPr>
        <w:tc>
          <w:tcPr>
            <w:tcW w:w="1705" w:type="dxa"/>
            <w:vAlign w:val="center"/>
          </w:tcPr>
          <w:p w14:paraId="5A030485" w14:textId="77777777" w:rsidR="00B20EE3" w:rsidRPr="00B20EE3" w:rsidRDefault="00B20EE3" w:rsidP="00B20EE3">
            <w:pPr>
              <w:rPr>
                <w:rFonts w:ascii="Arial" w:eastAsia="Calibri" w:hAnsi="Arial" w:cs="Arial"/>
                <w:b/>
                <w:bCs/>
                <w:color w:val="00B050"/>
              </w:rPr>
            </w:pPr>
            <w:r w:rsidRPr="00B20EE3">
              <w:rPr>
                <w:rFonts w:ascii="Arial" w:eastAsia="Calibri" w:hAnsi="Arial" w:cs="Arial"/>
                <w:b/>
                <w:bCs/>
                <w:color w:val="00B050"/>
              </w:rPr>
              <w:t>Generally pre-retirement ages</w:t>
            </w:r>
          </w:p>
        </w:tc>
        <w:tc>
          <w:tcPr>
            <w:tcW w:w="900" w:type="dxa"/>
            <w:gridSpan w:val="2"/>
            <w:vAlign w:val="center"/>
          </w:tcPr>
          <w:p w14:paraId="40D13663" w14:textId="77777777" w:rsidR="00B20EE3" w:rsidRPr="00B20EE3" w:rsidRDefault="00B20EE3" w:rsidP="00B20EE3">
            <w:pPr>
              <w:jc w:val="right"/>
              <w:rPr>
                <w:rFonts w:ascii="Arial" w:eastAsia="Calibri" w:hAnsi="Arial" w:cs="Arial"/>
                <w:color w:val="44546A"/>
              </w:rPr>
            </w:pPr>
          </w:p>
        </w:tc>
        <w:tc>
          <w:tcPr>
            <w:tcW w:w="900" w:type="dxa"/>
            <w:gridSpan w:val="2"/>
            <w:vAlign w:val="center"/>
          </w:tcPr>
          <w:p w14:paraId="3520462A" w14:textId="77777777" w:rsidR="00B20EE3" w:rsidRPr="00B20EE3" w:rsidRDefault="00B20EE3" w:rsidP="00B20EE3">
            <w:pPr>
              <w:jc w:val="right"/>
              <w:rPr>
                <w:rFonts w:ascii="Arial" w:eastAsia="Calibri" w:hAnsi="Arial" w:cs="Arial"/>
                <w:color w:val="44546A"/>
              </w:rPr>
            </w:pPr>
          </w:p>
        </w:tc>
        <w:tc>
          <w:tcPr>
            <w:tcW w:w="7285" w:type="dxa"/>
            <w:gridSpan w:val="3"/>
            <w:vAlign w:val="center"/>
          </w:tcPr>
          <w:p w14:paraId="323076B3" w14:textId="77777777" w:rsidR="00B20EE3" w:rsidRPr="00B20EE3" w:rsidRDefault="00B20EE3" w:rsidP="00B20EE3">
            <w:pPr>
              <w:jc w:val="right"/>
              <w:rPr>
                <w:rFonts w:ascii="Arial" w:eastAsia="Calibri" w:hAnsi="Arial" w:cs="Arial"/>
                <w:color w:val="44546A"/>
              </w:rPr>
            </w:pPr>
          </w:p>
        </w:tc>
      </w:tr>
      <w:tr w:rsidR="00B20EE3" w:rsidRPr="00B20EE3" w14:paraId="629BF399" w14:textId="77777777" w:rsidTr="0097145A">
        <w:trPr>
          <w:gridAfter w:val="1"/>
          <w:wAfter w:w="25" w:type="dxa"/>
          <w:cantSplit/>
        </w:trPr>
        <w:tc>
          <w:tcPr>
            <w:tcW w:w="1705" w:type="dxa"/>
            <w:vAlign w:val="center"/>
          </w:tcPr>
          <w:p w14:paraId="14F9BBF2"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44546A"/>
              </w:rPr>
              <w:t>55 to 59</w:t>
            </w:r>
          </w:p>
        </w:tc>
        <w:tc>
          <w:tcPr>
            <w:tcW w:w="900" w:type="dxa"/>
            <w:gridSpan w:val="2"/>
            <w:vAlign w:val="center"/>
          </w:tcPr>
          <w:p w14:paraId="4BABE63D"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77.0</w:t>
            </w:r>
          </w:p>
        </w:tc>
        <w:tc>
          <w:tcPr>
            <w:tcW w:w="900" w:type="dxa"/>
            <w:gridSpan w:val="2"/>
            <w:vAlign w:val="center"/>
          </w:tcPr>
          <w:p w14:paraId="1CAC9C43"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77.0</w:t>
            </w:r>
          </w:p>
        </w:tc>
        <w:tc>
          <w:tcPr>
            <w:tcW w:w="4230" w:type="dxa"/>
            <w:vAlign w:val="center"/>
          </w:tcPr>
          <w:p w14:paraId="24F3719C"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2019 level matched by 2022</w:t>
            </w:r>
          </w:p>
        </w:tc>
        <w:tc>
          <w:tcPr>
            <w:tcW w:w="3055" w:type="dxa"/>
            <w:gridSpan w:val="2"/>
            <w:vAlign w:val="center"/>
          </w:tcPr>
          <w:p w14:paraId="2A5A3B26"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Continuing to vigorously rise</w:t>
            </w:r>
          </w:p>
        </w:tc>
      </w:tr>
      <w:tr w:rsidR="00B20EE3" w:rsidRPr="00B20EE3" w14:paraId="0ACF03D8" w14:textId="77777777" w:rsidTr="0097145A">
        <w:trPr>
          <w:gridAfter w:val="1"/>
          <w:wAfter w:w="25" w:type="dxa"/>
          <w:cantSplit/>
        </w:trPr>
        <w:tc>
          <w:tcPr>
            <w:tcW w:w="1705" w:type="dxa"/>
            <w:vAlign w:val="center"/>
          </w:tcPr>
          <w:p w14:paraId="13DD29C6"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44546A"/>
              </w:rPr>
              <w:t>60 to 64</w:t>
            </w:r>
          </w:p>
        </w:tc>
        <w:tc>
          <w:tcPr>
            <w:tcW w:w="900" w:type="dxa"/>
            <w:gridSpan w:val="2"/>
            <w:vAlign w:val="center"/>
          </w:tcPr>
          <w:p w14:paraId="269847B4"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62.0</w:t>
            </w:r>
          </w:p>
        </w:tc>
        <w:tc>
          <w:tcPr>
            <w:tcW w:w="900" w:type="dxa"/>
            <w:gridSpan w:val="2"/>
            <w:vAlign w:val="center"/>
          </w:tcPr>
          <w:p w14:paraId="3B0395C3"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62.6</w:t>
            </w:r>
          </w:p>
        </w:tc>
        <w:tc>
          <w:tcPr>
            <w:tcW w:w="4230" w:type="dxa"/>
            <w:vAlign w:val="center"/>
          </w:tcPr>
          <w:p w14:paraId="13953DB9"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2019 level almost matched by 2022</w:t>
            </w:r>
          </w:p>
        </w:tc>
        <w:tc>
          <w:tcPr>
            <w:tcW w:w="3055" w:type="dxa"/>
            <w:gridSpan w:val="2"/>
            <w:vAlign w:val="center"/>
          </w:tcPr>
          <w:p w14:paraId="5F6D9A8D"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Continuing to vigorously rise</w:t>
            </w:r>
          </w:p>
        </w:tc>
      </w:tr>
      <w:tr w:rsidR="00B20EE3" w:rsidRPr="00B20EE3" w14:paraId="7F54A05F" w14:textId="77777777" w:rsidTr="00A91B26">
        <w:trPr>
          <w:gridAfter w:val="1"/>
          <w:wAfter w:w="25" w:type="dxa"/>
          <w:cantSplit/>
        </w:trPr>
        <w:tc>
          <w:tcPr>
            <w:tcW w:w="1705" w:type="dxa"/>
            <w:vAlign w:val="center"/>
          </w:tcPr>
          <w:p w14:paraId="42D3292B" w14:textId="77777777" w:rsidR="00B20EE3" w:rsidRPr="00B20EE3" w:rsidRDefault="00B20EE3" w:rsidP="00B20EE3">
            <w:pPr>
              <w:rPr>
                <w:rFonts w:ascii="Arial" w:eastAsia="Calibri" w:hAnsi="Arial" w:cs="Arial"/>
                <w:b/>
                <w:bCs/>
                <w:color w:val="00B050"/>
              </w:rPr>
            </w:pPr>
            <w:r w:rsidRPr="00B20EE3">
              <w:rPr>
                <w:rFonts w:ascii="Arial" w:eastAsia="Calibri" w:hAnsi="Arial" w:cs="Arial"/>
                <w:b/>
                <w:bCs/>
                <w:color w:val="00B050"/>
              </w:rPr>
              <w:t>Typical Social Security retirement ages</w:t>
            </w:r>
          </w:p>
        </w:tc>
        <w:tc>
          <w:tcPr>
            <w:tcW w:w="900" w:type="dxa"/>
            <w:gridSpan w:val="2"/>
            <w:vAlign w:val="center"/>
          </w:tcPr>
          <w:p w14:paraId="39DF3D33" w14:textId="77777777" w:rsidR="00B20EE3" w:rsidRPr="00B20EE3" w:rsidRDefault="00B20EE3" w:rsidP="00B20EE3">
            <w:pPr>
              <w:jc w:val="right"/>
              <w:rPr>
                <w:rFonts w:ascii="Arial" w:eastAsia="Calibri" w:hAnsi="Arial" w:cs="Arial"/>
                <w:color w:val="44546A"/>
              </w:rPr>
            </w:pPr>
          </w:p>
        </w:tc>
        <w:tc>
          <w:tcPr>
            <w:tcW w:w="900" w:type="dxa"/>
            <w:gridSpan w:val="2"/>
            <w:vAlign w:val="center"/>
          </w:tcPr>
          <w:p w14:paraId="443B9A8E" w14:textId="77777777" w:rsidR="00B20EE3" w:rsidRPr="00B20EE3" w:rsidRDefault="00B20EE3" w:rsidP="00B20EE3">
            <w:pPr>
              <w:jc w:val="right"/>
              <w:rPr>
                <w:rFonts w:ascii="Arial" w:eastAsia="Calibri" w:hAnsi="Arial" w:cs="Arial"/>
                <w:color w:val="44546A"/>
              </w:rPr>
            </w:pPr>
          </w:p>
        </w:tc>
        <w:tc>
          <w:tcPr>
            <w:tcW w:w="7285" w:type="dxa"/>
            <w:gridSpan w:val="3"/>
            <w:vAlign w:val="center"/>
          </w:tcPr>
          <w:p w14:paraId="3DA508EF" w14:textId="77777777" w:rsidR="00B20EE3" w:rsidRPr="00B20EE3" w:rsidRDefault="00B20EE3" w:rsidP="00B20EE3">
            <w:pPr>
              <w:jc w:val="right"/>
              <w:rPr>
                <w:rFonts w:ascii="Arial" w:eastAsia="Calibri" w:hAnsi="Arial" w:cs="Arial"/>
                <w:color w:val="44546A"/>
              </w:rPr>
            </w:pPr>
          </w:p>
        </w:tc>
      </w:tr>
      <w:tr w:rsidR="00B20EE3" w:rsidRPr="00B20EE3" w14:paraId="0253FEB0" w14:textId="77777777" w:rsidTr="0097145A">
        <w:trPr>
          <w:gridAfter w:val="1"/>
          <w:wAfter w:w="25" w:type="dxa"/>
          <w:cantSplit/>
        </w:trPr>
        <w:tc>
          <w:tcPr>
            <w:tcW w:w="1705" w:type="dxa"/>
            <w:vAlign w:val="center"/>
          </w:tcPr>
          <w:p w14:paraId="6C995DC3"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44546A"/>
              </w:rPr>
              <w:t>65 to 69</w:t>
            </w:r>
          </w:p>
        </w:tc>
        <w:tc>
          <w:tcPr>
            <w:tcW w:w="900" w:type="dxa"/>
            <w:gridSpan w:val="2"/>
            <w:vAlign w:val="center"/>
          </w:tcPr>
          <w:p w14:paraId="52AEE86A"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38.3</w:t>
            </w:r>
          </w:p>
        </w:tc>
        <w:tc>
          <w:tcPr>
            <w:tcW w:w="900" w:type="dxa"/>
            <w:gridSpan w:val="2"/>
            <w:vAlign w:val="center"/>
          </w:tcPr>
          <w:p w14:paraId="1B171DFA"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37.0</w:t>
            </w:r>
          </w:p>
        </w:tc>
        <w:tc>
          <w:tcPr>
            <w:tcW w:w="4230" w:type="dxa"/>
            <w:vAlign w:val="center"/>
          </w:tcPr>
          <w:p w14:paraId="60E5AFC6"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Apparently clear pandemic effect of withdrawing from the labor force</w:t>
            </w:r>
          </w:p>
        </w:tc>
        <w:tc>
          <w:tcPr>
            <w:tcW w:w="3055" w:type="dxa"/>
            <w:gridSpan w:val="2"/>
            <w:vAlign w:val="center"/>
          </w:tcPr>
          <w:p w14:paraId="6695225C"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 xml:space="preserve">.6% point </w:t>
            </w:r>
            <w:r w:rsidRPr="00B20EE3">
              <w:rPr>
                <w:rFonts w:ascii="Arial" w:eastAsia="Calibri" w:hAnsi="Arial" w:cs="Arial"/>
                <w:b/>
                <w:bCs/>
                <w:i/>
                <w:iCs/>
                <w:color w:val="44546A"/>
              </w:rPr>
              <w:t>drop</w:t>
            </w:r>
            <w:r w:rsidRPr="00B20EE3">
              <w:rPr>
                <w:rFonts w:ascii="Arial" w:eastAsia="Calibri" w:hAnsi="Arial" w:cs="Arial"/>
                <w:color w:val="44546A"/>
              </w:rPr>
              <w:t xml:space="preserve"> between 2022 and 2023 </w:t>
            </w:r>
          </w:p>
        </w:tc>
      </w:tr>
      <w:tr w:rsidR="00B20EE3" w:rsidRPr="00B20EE3" w14:paraId="35F6F52D" w14:textId="77777777" w:rsidTr="0097145A">
        <w:trPr>
          <w:gridAfter w:val="1"/>
          <w:wAfter w:w="25" w:type="dxa"/>
          <w:cantSplit/>
        </w:trPr>
        <w:tc>
          <w:tcPr>
            <w:tcW w:w="1705" w:type="dxa"/>
            <w:vAlign w:val="center"/>
          </w:tcPr>
          <w:p w14:paraId="6B5E628D"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00B050"/>
              </w:rPr>
              <w:t>Typical post-retirement ages</w:t>
            </w:r>
          </w:p>
        </w:tc>
        <w:tc>
          <w:tcPr>
            <w:tcW w:w="900" w:type="dxa"/>
            <w:gridSpan w:val="2"/>
            <w:vAlign w:val="center"/>
          </w:tcPr>
          <w:p w14:paraId="1EF7B968" w14:textId="77777777" w:rsidR="00B20EE3" w:rsidRPr="00B20EE3" w:rsidRDefault="00B20EE3" w:rsidP="00B20EE3">
            <w:pPr>
              <w:jc w:val="right"/>
              <w:rPr>
                <w:rFonts w:ascii="Arial" w:eastAsia="Calibri" w:hAnsi="Arial" w:cs="Arial"/>
                <w:color w:val="44546A"/>
              </w:rPr>
            </w:pPr>
          </w:p>
        </w:tc>
        <w:tc>
          <w:tcPr>
            <w:tcW w:w="900" w:type="dxa"/>
            <w:gridSpan w:val="2"/>
            <w:vAlign w:val="center"/>
          </w:tcPr>
          <w:p w14:paraId="209090D7" w14:textId="77777777" w:rsidR="00B20EE3" w:rsidRPr="00B20EE3" w:rsidRDefault="00B20EE3" w:rsidP="00B20EE3">
            <w:pPr>
              <w:jc w:val="right"/>
              <w:rPr>
                <w:rFonts w:ascii="Arial" w:eastAsia="Calibri" w:hAnsi="Arial" w:cs="Arial"/>
                <w:color w:val="44546A"/>
              </w:rPr>
            </w:pPr>
          </w:p>
        </w:tc>
        <w:tc>
          <w:tcPr>
            <w:tcW w:w="4230" w:type="dxa"/>
            <w:vAlign w:val="center"/>
          </w:tcPr>
          <w:p w14:paraId="65115B93" w14:textId="77777777" w:rsidR="00B20EE3" w:rsidRPr="00B20EE3" w:rsidRDefault="00B20EE3" w:rsidP="00B20EE3">
            <w:pPr>
              <w:jc w:val="right"/>
              <w:rPr>
                <w:rFonts w:ascii="Arial" w:eastAsia="Calibri" w:hAnsi="Arial" w:cs="Arial"/>
                <w:color w:val="44546A"/>
              </w:rPr>
            </w:pPr>
          </w:p>
        </w:tc>
        <w:tc>
          <w:tcPr>
            <w:tcW w:w="3055" w:type="dxa"/>
            <w:gridSpan w:val="2"/>
            <w:vAlign w:val="center"/>
          </w:tcPr>
          <w:p w14:paraId="65F2FD94" w14:textId="77777777" w:rsidR="00B20EE3" w:rsidRPr="00B20EE3" w:rsidRDefault="00B20EE3" w:rsidP="00B20EE3">
            <w:pPr>
              <w:jc w:val="right"/>
              <w:rPr>
                <w:rFonts w:ascii="Arial" w:eastAsia="Calibri" w:hAnsi="Arial" w:cs="Arial"/>
                <w:color w:val="44546A"/>
              </w:rPr>
            </w:pPr>
          </w:p>
        </w:tc>
      </w:tr>
      <w:tr w:rsidR="00B20EE3" w:rsidRPr="00B20EE3" w14:paraId="6CE740CD" w14:textId="77777777" w:rsidTr="0097145A">
        <w:trPr>
          <w:gridAfter w:val="1"/>
          <w:wAfter w:w="25" w:type="dxa"/>
          <w:cantSplit/>
        </w:trPr>
        <w:tc>
          <w:tcPr>
            <w:tcW w:w="1705" w:type="dxa"/>
            <w:vAlign w:val="center"/>
          </w:tcPr>
          <w:p w14:paraId="5E289417"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44546A"/>
              </w:rPr>
              <w:t>70 to 74</w:t>
            </w:r>
          </w:p>
        </w:tc>
        <w:tc>
          <w:tcPr>
            <w:tcW w:w="900" w:type="dxa"/>
            <w:gridSpan w:val="2"/>
            <w:vAlign w:val="center"/>
          </w:tcPr>
          <w:p w14:paraId="55C620E7"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23.4</w:t>
            </w:r>
          </w:p>
        </w:tc>
        <w:tc>
          <w:tcPr>
            <w:tcW w:w="900" w:type="dxa"/>
            <w:gridSpan w:val="2"/>
            <w:vAlign w:val="center"/>
          </w:tcPr>
          <w:p w14:paraId="2CE922FF"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21.7</w:t>
            </w:r>
          </w:p>
        </w:tc>
        <w:tc>
          <w:tcPr>
            <w:tcW w:w="4230" w:type="dxa"/>
            <w:vAlign w:val="center"/>
          </w:tcPr>
          <w:p w14:paraId="06F06BC1"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Apparently clear pandemic effect of withdrawing from the labor force</w:t>
            </w:r>
          </w:p>
        </w:tc>
        <w:tc>
          <w:tcPr>
            <w:tcW w:w="3055" w:type="dxa"/>
            <w:gridSpan w:val="2"/>
            <w:vAlign w:val="center"/>
          </w:tcPr>
          <w:p w14:paraId="506279CB"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2022 and 2023 levels were identical (i.e., no trend)</w:t>
            </w:r>
          </w:p>
        </w:tc>
      </w:tr>
      <w:tr w:rsidR="00B20EE3" w:rsidRPr="00B20EE3" w14:paraId="05E05F0D" w14:textId="77777777" w:rsidTr="0097145A">
        <w:trPr>
          <w:gridAfter w:val="1"/>
          <w:wAfter w:w="25" w:type="dxa"/>
          <w:cantSplit/>
        </w:trPr>
        <w:tc>
          <w:tcPr>
            <w:tcW w:w="1705" w:type="dxa"/>
            <w:vAlign w:val="center"/>
          </w:tcPr>
          <w:p w14:paraId="7EADF36D"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44546A"/>
              </w:rPr>
              <w:t>75 and older</w:t>
            </w:r>
          </w:p>
        </w:tc>
        <w:tc>
          <w:tcPr>
            <w:tcW w:w="900" w:type="dxa"/>
            <w:gridSpan w:val="2"/>
            <w:vAlign w:val="center"/>
          </w:tcPr>
          <w:p w14:paraId="72609FA5"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11.8</w:t>
            </w:r>
          </w:p>
        </w:tc>
        <w:tc>
          <w:tcPr>
            <w:tcW w:w="900" w:type="dxa"/>
            <w:gridSpan w:val="2"/>
            <w:vAlign w:val="center"/>
          </w:tcPr>
          <w:p w14:paraId="7FD9714D"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10.7</w:t>
            </w:r>
          </w:p>
        </w:tc>
        <w:tc>
          <w:tcPr>
            <w:tcW w:w="4230" w:type="dxa"/>
            <w:vAlign w:val="center"/>
          </w:tcPr>
          <w:p w14:paraId="53DC9A9F"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Apparently clear pandemic effect of withdrawing from the labor force</w:t>
            </w:r>
          </w:p>
        </w:tc>
        <w:tc>
          <w:tcPr>
            <w:tcW w:w="3055" w:type="dxa"/>
            <w:gridSpan w:val="2"/>
            <w:vAlign w:val="center"/>
          </w:tcPr>
          <w:p w14:paraId="5124A525" w14:textId="5A13145E"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 xml:space="preserve">Small drop each year between 2021 and 2023 </w:t>
            </w:r>
          </w:p>
        </w:tc>
      </w:tr>
    </w:tbl>
    <w:p w14:paraId="012B8F04" w14:textId="77777777" w:rsidR="0097145A" w:rsidRDefault="0097145A">
      <w:r>
        <w:br w:type="page"/>
      </w:r>
    </w:p>
    <w:tbl>
      <w:tblPr>
        <w:tblStyle w:val="TableGrid"/>
        <w:tblW w:w="0" w:type="auto"/>
        <w:tblLook w:val="04A0" w:firstRow="1" w:lastRow="0" w:firstColumn="1" w:lastColumn="0" w:noHBand="0" w:noVBand="1"/>
      </w:tblPr>
      <w:tblGrid>
        <w:gridCol w:w="1705"/>
        <w:gridCol w:w="900"/>
        <w:gridCol w:w="900"/>
        <w:gridCol w:w="4230"/>
        <w:gridCol w:w="3055"/>
      </w:tblGrid>
      <w:tr w:rsidR="00B20EE3" w:rsidRPr="00B20EE3" w14:paraId="0A218152" w14:textId="77777777" w:rsidTr="000317BC">
        <w:trPr>
          <w:cantSplit/>
          <w:tblHeader/>
        </w:trPr>
        <w:tc>
          <w:tcPr>
            <w:tcW w:w="1705" w:type="dxa"/>
            <w:vAlign w:val="center"/>
          </w:tcPr>
          <w:p w14:paraId="362FD2BB" w14:textId="77777777"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lastRenderedPageBreak/>
              <w:t>Age group (</w:t>
            </w:r>
            <w:r w:rsidRPr="00B20EE3">
              <w:rPr>
                <w:rFonts w:ascii="Arial" w:eastAsia="Calibri" w:hAnsi="Arial" w:cs="Arial"/>
                <w:b/>
                <w:bCs/>
                <w:color w:val="FF00FF"/>
              </w:rPr>
              <w:t>women</w:t>
            </w:r>
            <w:r w:rsidRPr="00B20EE3">
              <w:rPr>
                <w:rFonts w:ascii="Arial" w:eastAsia="Calibri" w:hAnsi="Arial" w:cs="Arial"/>
                <w:b/>
                <w:bCs/>
                <w:color w:val="44546A"/>
              </w:rPr>
              <w:t>)</w:t>
            </w:r>
          </w:p>
        </w:tc>
        <w:tc>
          <w:tcPr>
            <w:tcW w:w="1800" w:type="dxa"/>
            <w:gridSpan w:val="2"/>
            <w:vAlign w:val="center"/>
          </w:tcPr>
          <w:p w14:paraId="63B425A6" w14:textId="77777777"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t>Employment to population ratio (%)</w:t>
            </w:r>
          </w:p>
        </w:tc>
        <w:tc>
          <w:tcPr>
            <w:tcW w:w="4230" w:type="dxa"/>
            <w:vAlign w:val="center"/>
          </w:tcPr>
          <w:p w14:paraId="111549B8" w14:textId="77777777"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t xml:space="preserve">Conclusions </w:t>
            </w:r>
          </w:p>
        </w:tc>
        <w:tc>
          <w:tcPr>
            <w:tcW w:w="3055" w:type="dxa"/>
            <w:vAlign w:val="center"/>
          </w:tcPr>
          <w:p w14:paraId="78B9C758" w14:textId="77777777"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t>Trends</w:t>
            </w:r>
          </w:p>
        </w:tc>
      </w:tr>
      <w:tr w:rsidR="00B20EE3" w:rsidRPr="00B20EE3" w14:paraId="20139F1E" w14:textId="77777777" w:rsidTr="000317BC">
        <w:trPr>
          <w:cantSplit/>
        </w:trPr>
        <w:tc>
          <w:tcPr>
            <w:tcW w:w="1705" w:type="dxa"/>
            <w:vAlign w:val="center"/>
          </w:tcPr>
          <w:p w14:paraId="426ACE20" w14:textId="77777777" w:rsidR="00B20EE3" w:rsidRPr="00B20EE3" w:rsidRDefault="00B20EE3" w:rsidP="00B20EE3">
            <w:pPr>
              <w:rPr>
                <w:rFonts w:ascii="Arial" w:eastAsia="Calibri" w:hAnsi="Arial" w:cs="Arial"/>
                <w:b/>
                <w:bCs/>
                <w:color w:val="44546A"/>
              </w:rPr>
            </w:pPr>
          </w:p>
        </w:tc>
        <w:tc>
          <w:tcPr>
            <w:tcW w:w="900" w:type="dxa"/>
            <w:vAlign w:val="center"/>
          </w:tcPr>
          <w:p w14:paraId="16728954" w14:textId="77777777"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t>2019</w:t>
            </w:r>
          </w:p>
        </w:tc>
        <w:tc>
          <w:tcPr>
            <w:tcW w:w="900" w:type="dxa"/>
            <w:vAlign w:val="center"/>
          </w:tcPr>
          <w:p w14:paraId="430B1DFA" w14:textId="77777777" w:rsidR="00B20EE3" w:rsidRPr="00B20EE3" w:rsidRDefault="00B20EE3" w:rsidP="00B20EE3">
            <w:pPr>
              <w:jc w:val="center"/>
              <w:rPr>
                <w:rFonts w:ascii="Arial" w:eastAsia="Calibri" w:hAnsi="Arial" w:cs="Arial"/>
                <w:b/>
                <w:bCs/>
                <w:color w:val="44546A"/>
              </w:rPr>
            </w:pPr>
            <w:r w:rsidRPr="00B20EE3">
              <w:rPr>
                <w:rFonts w:ascii="Arial" w:eastAsia="Calibri" w:hAnsi="Arial" w:cs="Arial"/>
                <w:b/>
                <w:bCs/>
                <w:color w:val="44546A"/>
              </w:rPr>
              <w:t>2023</w:t>
            </w:r>
          </w:p>
        </w:tc>
        <w:tc>
          <w:tcPr>
            <w:tcW w:w="4230" w:type="dxa"/>
            <w:vAlign w:val="center"/>
          </w:tcPr>
          <w:p w14:paraId="1C89DE15" w14:textId="77777777" w:rsidR="00B20EE3" w:rsidRPr="00B20EE3" w:rsidRDefault="00B20EE3" w:rsidP="00B20EE3">
            <w:pPr>
              <w:jc w:val="right"/>
              <w:rPr>
                <w:rFonts w:ascii="Arial" w:eastAsia="Calibri" w:hAnsi="Arial" w:cs="Arial"/>
                <w:b/>
                <w:bCs/>
                <w:color w:val="44546A"/>
              </w:rPr>
            </w:pPr>
          </w:p>
        </w:tc>
        <w:tc>
          <w:tcPr>
            <w:tcW w:w="3055" w:type="dxa"/>
            <w:vAlign w:val="center"/>
          </w:tcPr>
          <w:p w14:paraId="7019926F" w14:textId="77777777" w:rsidR="00B20EE3" w:rsidRPr="00B20EE3" w:rsidRDefault="00B20EE3" w:rsidP="00B20EE3">
            <w:pPr>
              <w:jc w:val="right"/>
              <w:rPr>
                <w:rFonts w:ascii="Arial" w:eastAsia="Calibri" w:hAnsi="Arial" w:cs="Arial"/>
                <w:b/>
                <w:bCs/>
                <w:color w:val="44546A"/>
              </w:rPr>
            </w:pPr>
          </w:p>
        </w:tc>
      </w:tr>
      <w:tr w:rsidR="00B20EE3" w:rsidRPr="00B20EE3" w14:paraId="6D8709BB" w14:textId="77777777" w:rsidTr="00A91B26">
        <w:trPr>
          <w:cantSplit/>
        </w:trPr>
        <w:tc>
          <w:tcPr>
            <w:tcW w:w="1705" w:type="dxa"/>
            <w:vAlign w:val="center"/>
          </w:tcPr>
          <w:p w14:paraId="2BCBFFDE" w14:textId="77777777" w:rsidR="00B20EE3" w:rsidRPr="00B20EE3" w:rsidRDefault="00B20EE3" w:rsidP="00B20EE3">
            <w:pPr>
              <w:rPr>
                <w:rFonts w:ascii="Arial" w:eastAsia="Calibri" w:hAnsi="Arial" w:cs="Arial"/>
                <w:b/>
                <w:bCs/>
                <w:color w:val="00B050"/>
              </w:rPr>
            </w:pPr>
            <w:r w:rsidRPr="00B20EE3">
              <w:rPr>
                <w:rFonts w:ascii="Arial" w:eastAsia="Calibri" w:hAnsi="Arial" w:cs="Arial"/>
                <w:b/>
                <w:bCs/>
                <w:color w:val="00B050"/>
              </w:rPr>
              <w:t>Generally pre-retirement ages</w:t>
            </w:r>
          </w:p>
        </w:tc>
        <w:tc>
          <w:tcPr>
            <w:tcW w:w="900" w:type="dxa"/>
            <w:vAlign w:val="center"/>
          </w:tcPr>
          <w:p w14:paraId="4C23A371" w14:textId="77777777" w:rsidR="00B20EE3" w:rsidRPr="00B20EE3" w:rsidRDefault="00B20EE3" w:rsidP="00B20EE3">
            <w:pPr>
              <w:jc w:val="right"/>
              <w:rPr>
                <w:rFonts w:ascii="Arial" w:eastAsia="Calibri" w:hAnsi="Arial" w:cs="Arial"/>
                <w:color w:val="44546A"/>
              </w:rPr>
            </w:pPr>
          </w:p>
        </w:tc>
        <w:tc>
          <w:tcPr>
            <w:tcW w:w="900" w:type="dxa"/>
            <w:vAlign w:val="center"/>
          </w:tcPr>
          <w:p w14:paraId="0E41FDF2" w14:textId="77777777" w:rsidR="00B20EE3" w:rsidRPr="00B20EE3" w:rsidRDefault="00B20EE3" w:rsidP="00B20EE3">
            <w:pPr>
              <w:jc w:val="right"/>
              <w:rPr>
                <w:rFonts w:ascii="Arial" w:eastAsia="Calibri" w:hAnsi="Arial" w:cs="Arial"/>
                <w:color w:val="44546A"/>
              </w:rPr>
            </w:pPr>
          </w:p>
        </w:tc>
        <w:tc>
          <w:tcPr>
            <w:tcW w:w="7285" w:type="dxa"/>
            <w:gridSpan w:val="2"/>
            <w:vAlign w:val="center"/>
          </w:tcPr>
          <w:p w14:paraId="14B7E2DE" w14:textId="77777777" w:rsidR="00B20EE3" w:rsidRPr="00B20EE3" w:rsidRDefault="00B20EE3" w:rsidP="00B20EE3">
            <w:pPr>
              <w:jc w:val="right"/>
              <w:rPr>
                <w:rFonts w:ascii="Arial" w:eastAsia="Calibri" w:hAnsi="Arial" w:cs="Arial"/>
                <w:color w:val="44546A"/>
              </w:rPr>
            </w:pPr>
          </w:p>
        </w:tc>
      </w:tr>
      <w:tr w:rsidR="00B20EE3" w:rsidRPr="00B20EE3" w14:paraId="2D2104C6" w14:textId="77777777" w:rsidTr="000317BC">
        <w:trPr>
          <w:cantSplit/>
        </w:trPr>
        <w:tc>
          <w:tcPr>
            <w:tcW w:w="1705" w:type="dxa"/>
            <w:vAlign w:val="center"/>
          </w:tcPr>
          <w:p w14:paraId="708D35C7"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44546A"/>
              </w:rPr>
              <w:t>55 to 59</w:t>
            </w:r>
          </w:p>
        </w:tc>
        <w:tc>
          <w:tcPr>
            <w:tcW w:w="900" w:type="dxa"/>
            <w:vAlign w:val="center"/>
          </w:tcPr>
          <w:p w14:paraId="74551464"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65.3</w:t>
            </w:r>
          </w:p>
        </w:tc>
        <w:tc>
          <w:tcPr>
            <w:tcW w:w="900" w:type="dxa"/>
            <w:vAlign w:val="center"/>
          </w:tcPr>
          <w:p w14:paraId="7EFC3F54"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66.8</w:t>
            </w:r>
          </w:p>
        </w:tc>
        <w:tc>
          <w:tcPr>
            <w:tcW w:w="4230" w:type="dxa"/>
            <w:vAlign w:val="center"/>
          </w:tcPr>
          <w:p w14:paraId="2E167539"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2019 level well surpassed by 2022</w:t>
            </w:r>
          </w:p>
        </w:tc>
        <w:tc>
          <w:tcPr>
            <w:tcW w:w="3055" w:type="dxa"/>
            <w:vAlign w:val="center"/>
          </w:tcPr>
          <w:p w14:paraId="2E9BE15A"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Continuing to vigorously rise</w:t>
            </w:r>
          </w:p>
        </w:tc>
      </w:tr>
      <w:tr w:rsidR="00B20EE3" w:rsidRPr="00B20EE3" w14:paraId="0F226233" w14:textId="77777777" w:rsidTr="000317BC">
        <w:trPr>
          <w:cantSplit/>
        </w:trPr>
        <w:tc>
          <w:tcPr>
            <w:tcW w:w="1705" w:type="dxa"/>
            <w:vAlign w:val="center"/>
          </w:tcPr>
          <w:p w14:paraId="66C0F9EB"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44546A"/>
              </w:rPr>
              <w:t>60 to 64</w:t>
            </w:r>
          </w:p>
        </w:tc>
        <w:tc>
          <w:tcPr>
            <w:tcW w:w="900" w:type="dxa"/>
            <w:vAlign w:val="center"/>
          </w:tcPr>
          <w:p w14:paraId="14408BFC"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50.5</w:t>
            </w:r>
          </w:p>
        </w:tc>
        <w:tc>
          <w:tcPr>
            <w:tcW w:w="900" w:type="dxa"/>
            <w:vAlign w:val="center"/>
          </w:tcPr>
          <w:p w14:paraId="0B46ED56"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51.2</w:t>
            </w:r>
          </w:p>
        </w:tc>
        <w:tc>
          <w:tcPr>
            <w:tcW w:w="4230" w:type="dxa"/>
            <w:vAlign w:val="center"/>
          </w:tcPr>
          <w:p w14:paraId="3B0BA4DB"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2019 level almost matched by 2022</w:t>
            </w:r>
          </w:p>
        </w:tc>
        <w:tc>
          <w:tcPr>
            <w:tcW w:w="3055" w:type="dxa"/>
            <w:vAlign w:val="center"/>
          </w:tcPr>
          <w:p w14:paraId="48C02A45"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Continuing to vigorously rise</w:t>
            </w:r>
          </w:p>
        </w:tc>
      </w:tr>
      <w:tr w:rsidR="00B20EE3" w:rsidRPr="00B20EE3" w14:paraId="1D3E6DA7" w14:textId="77777777" w:rsidTr="00A91B26">
        <w:trPr>
          <w:cantSplit/>
        </w:trPr>
        <w:tc>
          <w:tcPr>
            <w:tcW w:w="1705" w:type="dxa"/>
            <w:vAlign w:val="center"/>
          </w:tcPr>
          <w:p w14:paraId="351DFCCB" w14:textId="77777777" w:rsidR="00B20EE3" w:rsidRPr="00B20EE3" w:rsidRDefault="00B20EE3" w:rsidP="00B20EE3">
            <w:pPr>
              <w:rPr>
                <w:rFonts w:ascii="Arial" w:eastAsia="Calibri" w:hAnsi="Arial" w:cs="Arial"/>
                <w:b/>
                <w:bCs/>
                <w:color w:val="00B050"/>
              </w:rPr>
            </w:pPr>
            <w:r w:rsidRPr="00B20EE3">
              <w:rPr>
                <w:rFonts w:ascii="Arial" w:eastAsia="Calibri" w:hAnsi="Arial" w:cs="Arial"/>
                <w:b/>
                <w:bCs/>
                <w:color w:val="00B050"/>
              </w:rPr>
              <w:t>Typical Social Security retirement ages</w:t>
            </w:r>
          </w:p>
        </w:tc>
        <w:tc>
          <w:tcPr>
            <w:tcW w:w="900" w:type="dxa"/>
            <w:vAlign w:val="center"/>
          </w:tcPr>
          <w:p w14:paraId="5A77CF69" w14:textId="77777777" w:rsidR="00B20EE3" w:rsidRPr="00B20EE3" w:rsidRDefault="00B20EE3" w:rsidP="00B20EE3">
            <w:pPr>
              <w:jc w:val="right"/>
              <w:rPr>
                <w:rFonts w:ascii="Arial" w:eastAsia="Calibri" w:hAnsi="Arial" w:cs="Arial"/>
                <w:color w:val="44546A"/>
              </w:rPr>
            </w:pPr>
          </w:p>
        </w:tc>
        <w:tc>
          <w:tcPr>
            <w:tcW w:w="900" w:type="dxa"/>
            <w:vAlign w:val="center"/>
          </w:tcPr>
          <w:p w14:paraId="415CDCEA" w14:textId="77777777" w:rsidR="00B20EE3" w:rsidRPr="00B20EE3" w:rsidRDefault="00B20EE3" w:rsidP="00B20EE3">
            <w:pPr>
              <w:jc w:val="right"/>
              <w:rPr>
                <w:rFonts w:ascii="Arial" w:eastAsia="Calibri" w:hAnsi="Arial" w:cs="Arial"/>
                <w:color w:val="44546A"/>
              </w:rPr>
            </w:pPr>
          </w:p>
        </w:tc>
        <w:tc>
          <w:tcPr>
            <w:tcW w:w="7285" w:type="dxa"/>
            <w:gridSpan w:val="2"/>
            <w:vAlign w:val="center"/>
          </w:tcPr>
          <w:p w14:paraId="2293DAD2" w14:textId="77777777" w:rsidR="00B20EE3" w:rsidRPr="00B20EE3" w:rsidRDefault="00B20EE3" w:rsidP="00B20EE3">
            <w:pPr>
              <w:jc w:val="right"/>
              <w:rPr>
                <w:rFonts w:ascii="Arial" w:eastAsia="Calibri" w:hAnsi="Arial" w:cs="Arial"/>
                <w:color w:val="44546A"/>
              </w:rPr>
            </w:pPr>
          </w:p>
        </w:tc>
      </w:tr>
      <w:tr w:rsidR="00B20EE3" w:rsidRPr="00B20EE3" w14:paraId="78AF4B39" w14:textId="77777777" w:rsidTr="000317BC">
        <w:trPr>
          <w:cantSplit/>
        </w:trPr>
        <w:tc>
          <w:tcPr>
            <w:tcW w:w="1705" w:type="dxa"/>
            <w:vAlign w:val="center"/>
          </w:tcPr>
          <w:p w14:paraId="7F015E74"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44546A"/>
              </w:rPr>
              <w:t>65 to 69</w:t>
            </w:r>
          </w:p>
        </w:tc>
        <w:tc>
          <w:tcPr>
            <w:tcW w:w="900" w:type="dxa"/>
            <w:vAlign w:val="center"/>
          </w:tcPr>
          <w:p w14:paraId="72919095"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29.0</w:t>
            </w:r>
          </w:p>
        </w:tc>
        <w:tc>
          <w:tcPr>
            <w:tcW w:w="900" w:type="dxa"/>
            <w:vAlign w:val="center"/>
          </w:tcPr>
          <w:p w14:paraId="55649B7D"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28.3</w:t>
            </w:r>
          </w:p>
        </w:tc>
        <w:tc>
          <w:tcPr>
            <w:tcW w:w="4230" w:type="dxa"/>
            <w:vAlign w:val="center"/>
          </w:tcPr>
          <w:p w14:paraId="0FADF1E4"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Still significantly below pre-pandemic level, but effect may be temporary</w:t>
            </w:r>
          </w:p>
        </w:tc>
        <w:tc>
          <w:tcPr>
            <w:tcW w:w="3055" w:type="dxa"/>
            <w:vAlign w:val="center"/>
          </w:tcPr>
          <w:p w14:paraId="1F256563"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Continuing to vigorously rise</w:t>
            </w:r>
          </w:p>
        </w:tc>
      </w:tr>
      <w:tr w:rsidR="00B20EE3" w:rsidRPr="00B20EE3" w14:paraId="7FDC6EA2" w14:textId="77777777" w:rsidTr="000317BC">
        <w:trPr>
          <w:cantSplit/>
        </w:trPr>
        <w:tc>
          <w:tcPr>
            <w:tcW w:w="1705" w:type="dxa"/>
            <w:vAlign w:val="center"/>
          </w:tcPr>
          <w:p w14:paraId="77E5B5C0"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00B050"/>
              </w:rPr>
              <w:t>Typical post-retirement ages</w:t>
            </w:r>
          </w:p>
        </w:tc>
        <w:tc>
          <w:tcPr>
            <w:tcW w:w="900" w:type="dxa"/>
            <w:vAlign w:val="center"/>
          </w:tcPr>
          <w:p w14:paraId="427A8441" w14:textId="77777777" w:rsidR="00B20EE3" w:rsidRPr="00B20EE3" w:rsidRDefault="00B20EE3" w:rsidP="00B20EE3">
            <w:pPr>
              <w:jc w:val="right"/>
              <w:rPr>
                <w:rFonts w:ascii="Arial" w:eastAsia="Calibri" w:hAnsi="Arial" w:cs="Arial"/>
                <w:color w:val="44546A"/>
              </w:rPr>
            </w:pPr>
          </w:p>
        </w:tc>
        <w:tc>
          <w:tcPr>
            <w:tcW w:w="900" w:type="dxa"/>
            <w:vAlign w:val="center"/>
          </w:tcPr>
          <w:p w14:paraId="7130950A" w14:textId="77777777" w:rsidR="00B20EE3" w:rsidRPr="00B20EE3" w:rsidRDefault="00B20EE3" w:rsidP="00B20EE3">
            <w:pPr>
              <w:jc w:val="right"/>
              <w:rPr>
                <w:rFonts w:ascii="Arial" w:eastAsia="Calibri" w:hAnsi="Arial" w:cs="Arial"/>
                <w:color w:val="44546A"/>
              </w:rPr>
            </w:pPr>
          </w:p>
        </w:tc>
        <w:tc>
          <w:tcPr>
            <w:tcW w:w="4230" w:type="dxa"/>
            <w:vAlign w:val="center"/>
          </w:tcPr>
          <w:p w14:paraId="6FD2A242" w14:textId="77777777" w:rsidR="00B20EE3" w:rsidRPr="00B20EE3" w:rsidRDefault="00B20EE3" w:rsidP="00B20EE3">
            <w:pPr>
              <w:jc w:val="right"/>
              <w:rPr>
                <w:rFonts w:ascii="Arial" w:eastAsia="Calibri" w:hAnsi="Arial" w:cs="Arial"/>
                <w:color w:val="44546A"/>
              </w:rPr>
            </w:pPr>
          </w:p>
        </w:tc>
        <w:tc>
          <w:tcPr>
            <w:tcW w:w="3055" w:type="dxa"/>
            <w:vAlign w:val="center"/>
          </w:tcPr>
          <w:p w14:paraId="7EA7A11A" w14:textId="77777777" w:rsidR="00B20EE3" w:rsidRPr="00B20EE3" w:rsidRDefault="00B20EE3" w:rsidP="00B20EE3">
            <w:pPr>
              <w:jc w:val="right"/>
              <w:rPr>
                <w:rFonts w:ascii="Arial" w:eastAsia="Calibri" w:hAnsi="Arial" w:cs="Arial"/>
                <w:color w:val="44546A"/>
              </w:rPr>
            </w:pPr>
          </w:p>
        </w:tc>
      </w:tr>
      <w:tr w:rsidR="00B20EE3" w:rsidRPr="00B20EE3" w14:paraId="7CBCBD71" w14:textId="77777777" w:rsidTr="000317BC">
        <w:trPr>
          <w:cantSplit/>
        </w:trPr>
        <w:tc>
          <w:tcPr>
            <w:tcW w:w="1705" w:type="dxa"/>
            <w:vAlign w:val="center"/>
          </w:tcPr>
          <w:p w14:paraId="468D375C"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44546A"/>
              </w:rPr>
              <w:t>70 to 74</w:t>
            </w:r>
          </w:p>
        </w:tc>
        <w:tc>
          <w:tcPr>
            <w:tcW w:w="900" w:type="dxa"/>
            <w:vAlign w:val="center"/>
          </w:tcPr>
          <w:p w14:paraId="32919DAA"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15.5</w:t>
            </w:r>
          </w:p>
        </w:tc>
        <w:tc>
          <w:tcPr>
            <w:tcW w:w="900" w:type="dxa"/>
            <w:vAlign w:val="center"/>
          </w:tcPr>
          <w:p w14:paraId="175A430D"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15.9</w:t>
            </w:r>
          </w:p>
        </w:tc>
        <w:tc>
          <w:tcPr>
            <w:tcW w:w="4230" w:type="dxa"/>
            <w:vAlign w:val="center"/>
          </w:tcPr>
          <w:p w14:paraId="7CCAF75A"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2019 level not surpassed until 2023</w:t>
            </w:r>
          </w:p>
        </w:tc>
        <w:tc>
          <w:tcPr>
            <w:tcW w:w="3055" w:type="dxa"/>
            <w:vAlign w:val="center"/>
          </w:tcPr>
          <w:p w14:paraId="1180294A"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Continuing to vigorously rise</w:t>
            </w:r>
          </w:p>
        </w:tc>
      </w:tr>
      <w:tr w:rsidR="00B20EE3" w:rsidRPr="00B20EE3" w14:paraId="0757C3F4" w14:textId="77777777" w:rsidTr="000317BC">
        <w:trPr>
          <w:cantSplit/>
        </w:trPr>
        <w:tc>
          <w:tcPr>
            <w:tcW w:w="1705" w:type="dxa"/>
            <w:vAlign w:val="center"/>
          </w:tcPr>
          <w:p w14:paraId="6FBC95C7" w14:textId="77777777" w:rsidR="00B20EE3" w:rsidRPr="00B20EE3" w:rsidRDefault="00B20EE3" w:rsidP="00B20EE3">
            <w:pPr>
              <w:rPr>
                <w:rFonts w:ascii="Arial" w:eastAsia="Calibri" w:hAnsi="Arial" w:cs="Arial"/>
                <w:b/>
                <w:bCs/>
                <w:color w:val="44546A"/>
              </w:rPr>
            </w:pPr>
            <w:r w:rsidRPr="00B20EE3">
              <w:rPr>
                <w:rFonts w:ascii="Arial" w:eastAsia="Calibri" w:hAnsi="Arial" w:cs="Arial"/>
                <w:b/>
                <w:bCs/>
                <w:color w:val="44546A"/>
              </w:rPr>
              <w:t>75 and older</w:t>
            </w:r>
          </w:p>
        </w:tc>
        <w:tc>
          <w:tcPr>
            <w:tcW w:w="900" w:type="dxa"/>
            <w:vAlign w:val="center"/>
          </w:tcPr>
          <w:p w14:paraId="30CAEBB4"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6.6</w:t>
            </w:r>
          </w:p>
        </w:tc>
        <w:tc>
          <w:tcPr>
            <w:tcW w:w="900" w:type="dxa"/>
            <w:vAlign w:val="center"/>
          </w:tcPr>
          <w:p w14:paraId="73C12E55"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6.0</w:t>
            </w:r>
          </w:p>
        </w:tc>
        <w:tc>
          <w:tcPr>
            <w:tcW w:w="4230" w:type="dxa"/>
            <w:vAlign w:val="center"/>
          </w:tcPr>
          <w:p w14:paraId="551B59D4"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Apparently clear pandemic effect of withdrawing from the labor force</w:t>
            </w:r>
          </w:p>
        </w:tc>
        <w:tc>
          <w:tcPr>
            <w:tcW w:w="3055" w:type="dxa"/>
            <w:vAlign w:val="center"/>
          </w:tcPr>
          <w:p w14:paraId="15520A09" w14:textId="77777777" w:rsidR="00B20EE3" w:rsidRPr="00B20EE3" w:rsidRDefault="00B20EE3" w:rsidP="00B20EE3">
            <w:pPr>
              <w:jc w:val="right"/>
              <w:rPr>
                <w:rFonts w:ascii="Arial" w:eastAsia="Calibri" w:hAnsi="Arial" w:cs="Arial"/>
                <w:color w:val="44546A"/>
              </w:rPr>
            </w:pPr>
            <w:r w:rsidRPr="00B20EE3">
              <w:rPr>
                <w:rFonts w:ascii="Arial" w:eastAsia="Calibri" w:hAnsi="Arial" w:cs="Arial"/>
                <w:color w:val="44546A"/>
              </w:rPr>
              <w:t>Fell between 2021 and 2022, then rose by .2% points in 2023</w:t>
            </w:r>
          </w:p>
        </w:tc>
      </w:tr>
    </w:tbl>
    <w:p w14:paraId="1620ECAF" w14:textId="28898AC6" w:rsidR="00010AB6" w:rsidRPr="003D3F7A" w:rsidRDefault="00010AB6" w:rsidP="00010AB6">
      <w:pPr>
        <w:rPr>
          <w:rFonts w:eastAsia="Calibri" w:cs="Arial"/>
        </w:rPr>
      </w:pPr>
      <w:r w:rsidRPr="003D3F7A">
        <w:rPr>
          <w:rFonts w:eastAsia="Calibri" w:cs="Arial"/>
        </w:rPr>
        <w:t>Source</w:t>
      </w:r>
      <w:r w:rsidR="00284FF8">
        <w:rPr>
          <w:rFonts w:eastAsia="Calibri" w:cs="Arial"/>
        </w:rPr>
        <w:t xml:space="preserve"> for all three of the above tables</w:t>
      </w:r>
      <w:r w:rsidRPr="003D3F7A">
        <w:rPr>
          <w:rFonts w:eastAsia="Calibri" w:cs="Arial"/>
        </w:rPr>
        <w:t xml:space="preserve">:  BLS, annual averages of monthly </w:t>
      </w:r>
      <w:r w:rsidRPr="003D3F7A">
        <w:rPr>
          <w:rFonts w:eastAsia="Calibri" w:cs="Arial"/>
          <w:i/>
          <w:iCs/>
        </w:rPr>
        <w:t>Current Population Survey</w:t>
      </w:r>
      <w:r w:rsidRPr="003D3F7A">
        <w:rPr>
          <w:rFonts w:eastAsia="Calibri" w:cs="Arial"/>
        </w:rPr>
        <w:t xml:space="preserve"> (CPS) data </w:t>
      </w:r>
    </w:p>
    <w:p w14:paraId="1F8058DE" w14:textId="77777777" w:rsidR="005965FF" w:rsidRDefault="005965FF" w:rsidP="00010AB6">
      <w:pPr>
        <w:rPr>
          <w:rFonts w:eastAsia="Calibri" w:cs="Arial"/>
        </w:rPr>
      </w:pPr>
    </w:p>
    <w:p w14:paraId="2F1A21DC" w14:textId="77777777" w:rsidR="000317BC" w:rsidRPr="003D3F7A" w:rsidRDefault="000317BC" w:rsidP="00010AB6">
      <w:pPr>
        <w:rPr>
          <w:rFonts w:eastAsia="Calibri" w:cs="Arial"/>
        </w:rPr>
      </w:pPr>
    </w:p>
    <w:p w14:paraId="732683B9" w14:textId="338FA0C6" w:rsidR="005965FF" w:rsidRPr="003D3F7A" w:rsidRDefault="00953A4D" w:rsidP="00010AB6">
      <w:pPr>
        <w:rPr>
          <w:rFonts w:eastAsia="Calibri" w:cs="Arial"/>
        </w:rPr>
      </w:pPr>
      <w:r w:rsidRPr="003D3F7A">
        <w:rPr>
          <w:rFonts w:cs="Arial"/>
          <w:noProof/>
        </w:rPr>
        <w:drawing>
          <wp:inline distT="0" distB="0" distL="0" distR="0" wp14:anchorId="1B3B8B6C" wp14:editId="1D540899">
            <wp:extent cx="7250247" cy="2149311"/>
            <wp:effectExtent l="0" t="0" r="8255" b="3810"/>
            <wp:docPr id="16665307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61752" cy="2152722"/>
                    </a:xfrm>
                    <a:prstGeom prst="rect">
                      <a:avLst/>
                    </a:prstGeom>
                    <a:noFill/>
                    <a:ln>
                      <a:noFill/>
                    </a:ln>
                  </pic:spPr>
                </pic:pic>
              </a:graphicData>
            </a:graphic>
          </wp:inline>
        </w:drawing>
      </w:r>
    </w:p>
    <w:p w14:paraId="198B1B4F" w14:textId="1E97CFA3" w:rsidR="005965FF" w:rsidRPr="003D3F7A" w:rsidRDefault="000E7368" w:rsidP="00010AB6">
      <w:pPr>
        <w:rPr>
          <w:rFonts w:eastAsia="Calibri" w:cs="Arial"/>
        </w:rPr>
      </w:pPr>
      <w:r>
        <w:rPr>
          <w:rFonts w:eastAsia="Calibri" w:cs="Arial"/>
        </w:rPr>
        <w:t xml:space="preserve">Source:  BLS unpublished tables </w:t>
      </w:r>
    </w:p>
    <w:p w14:paraId="5DC19267" w14:textId="77777777" w:rsidR="0057340D" w:rsidRDefault="0057340D" w:rsidP="00F34B1A">
      <w:pPr>
        <w:rPr>
          <w:rFonts w:cs="Arial"/>
          <w:b/>
          <w:bCs/>
          <w:color w:val="008EC0"/>
        </w:rPr>
      </w:pPr>
      <w:r>
        <w:rPr>
          <w:rFonts w:cs="Arial"/>
          <w:b/>
          <w:bCs/>
          <w:color w:val="008EC0"/>
        </w:rPr>
        <w:br w:type="page"/>
      </w:r>
    </w:p>
    <w:p w14:paraId="555B0E85" w14:textId="6C539680" w:rsidR="00F34B1A" w:rsidRPr="003D3F7A" w:rsidRDefault="00F34B1A" w:rsidP="00F34B1A">
      <w:pPr>
        <w:rPr>
          <w:rFonts w:cs="Arial"/>
          <w:color w:val="008EC0"/>
        </w:rPr>
      </w:pPr>
      <w:r w:rsidRPr="003D3F7A">
        <w:rPr>
          <w:rFonts w:cs="Arial"/>
          <w:b/>
          <w:bCs/>
          <w:color w:val="008EC0"/>
        </w:rPr>
        <w:lastRenderedPageBreak/>
        <w:t>LONG-TERM TREND</w:t>
      </w:r>
      <w:r w:rsidR="007B610E">
        <w:rPr>
          <w:rFonts w:cs="Arial"/>
          <w:b/>
          <w:bCs/>
          <w:color w:val="008EC0"/>
        </w:rPr>
        <w:t xml:space="preserve"> </w:t>
      </w:r>
      <w:r w:rsidR="007B610E" w:rsidRPr="007B610E">
        <w:rPr>
          <w:rFonts w:cs="Arial"/>
          <w:b/>
          <w:bCs/>
          <w:color w:val="008EC0"/>
        </w:rPr>
        <w:t>BACKGROUND FACTORS</w:t>
      </w:r>
    </w:p>
    <w:p w14:paraId="4D052275" w14:textId="77777777" w:rsidR="00B20EE3" w:rsidRPr="003D3F7A" w:rsidRDefault="00B20EE3" w:rsidP="00B20EE3">
      <w:pPr>
        <w:rPr>
          <w:rFonts w:eastAsia="Calibri" w:cs="Arial"/>
        </w:rPr>
      </w:pPr>
    </w:p>
    <w:p w14:paraId="1CEED7B8" w14:textId="0713A362" w:rsidR="00010AB6" w:rsidRPr="003D3F7A" w:rsidRDefault="00654CD5" w:rsidP="00B20EE3">
      <w:pPr>
        <w:rPr>
          <w:rFonts w:eastAsia="Calibri" w:cs="Arial"/>
        </w:rPr>
      </w:pPr>
      <w:r w:rsidRPr="003D3F7A">
        <w:rPr>
          <w:rFonts w:eastAsia="Calibri" w:cs="Arial"/>
        </w:rPr>
        <w:t xml:space="preserve">Although many people </w:t>
      </w:r>
      <w:r w:rsidR="00990FE7" w:rsidRPr="003D3F7A">
        <w:rPr>
          <w:rFonts w:eastAsia="Calibri" w:cs="Arial"/>
        </w:rPr>
        <w:t xml:space="preserve">obtain satisfaction from </w:t>
      </w:r>
      <w:r w:rsidR="00DA4D38" w:rsidRPr="003D3F7A">
        <w:rPr>
          <w:rFonts w:eastAsia="Calibri" w:cs="Arial"/>
        </w:rPr>
        <w:t xml:space="preserve">paid work, certainly for the income and also </w:t>
      </w:r>
      <w:r w:rsidR="00A70903" w:rsidRPr="003D3F7A">
        <w:rPr>
          <w:rFonts w:eastAsia="Calibri" w:cs="Arial"/>
        </w:rPr>
        <w:t xml:space="preserve">often </w:t>
      </w:r>
      <w:r w:rsidR="00062577">
        <w:rPr>
          <w:rFonts w:eastAsia="Calibri" w:cs="Arial"/>
        </w:rPr>
        <w:t xml:space="preserve">from </w:t>
      </w:r>
      <w:r w:rsidR="00A70903" w:rsidRPr="003D3F7A">
        <w:rPr>
          <w:rFonts w:eastAsia="Calibri" w:cs="Arial"/>
        </w:rPr>
        <w:t>psychological rewards, very few people wish to work until they die</w:t>
      </w:r>
      <w:r w:rsidR="00180817" w:rsidRPr="003D3F7A">
        <w:rPr>
          <w:rFonts w:eastAsia="Calibri" w:cs="Arial"/>
        </w:rPr>
        <w:t xml:space="preserve">.  Moreover, most people </w:t>
      </w:r>
      <w:r w:rsidR="00427CF8" w:rsidRPr="003D3F7A">
        <w:rPr>
          <w:rFonts w:eastAsia="Calibri" w:cs="Arial"/>
        </w:rPr>
        <w:t xml:space="preserve">wish to </w:t>
      </w:r>
      <w:r w:rsidR="00E13F4E" w:rsidRPr="003D3F7A">
        <w:rPr>
          <w:rFonts w:eastAsia="Calibri" w:cs="Arial"/>
        </w:rPr>
        <w:t>pursue</w:t>
      </w:r>
      <w:r w:rsidR="00427CF8" w:rsidRPr="003D3F7A">
        <w:rPr>
          <w:rFonts w:eastAsia="Calibri" w:cs="Arial"/>
        </w:rPr>
        <w:t xml:space="preserve"> their own </w:t>
      </w:r>
      <w:r w:rsidR="00E13F4E" w:rsidRPr="003D3F7A">
        <w:rPr>
          <w:rFonts w:eastAsia="Calibri" w:cs="Arial"/>
        </w:rPr>
        <w:t>desires and sometimes even whims</w:t>
      </w:r>
      <w:r w:rsidR="00E90221" w:rsidRPr="003D3F7A">
        <w:rPr>
          <w:rFonts w:eastAsia="Calibri" w:cs="Arial"/>
        </w:rPr>
        <w:t>, and not those of their employer or boss</w:t>
      </w:r>
      <w:r w:rsidR="007E1CF5" w:rsidRPr="003D3F7A">
        <w:rPr>
          <w:rFonts w:eastAsia="Calibri" w:cs="Arial"/>
        </w:rPr>
        <w:t xml:space="preserve">.  These are basic human traits that can be </w:t>
      </w:r>
      <w:r w:rsidR="00DB37B0" w:rsidRPr="003D3F7A">
        <w:rPr>
          <w:rFonts w:eastAsia="Calibri" w:cs="Arial"/>
        </w:rPr>
        <w:t xml:space="preserve">taken as a </w:t>
      </w:r>
      <w:r w:rsidR="00587D33" w:rsidRPr="003D3F7A">
        <w:rPr>
          <w:rFonts w:eastAsia="Calibri" w:cs="Arial"/>
        </w:rPr>
        <w:t xml:space="preserve">given.  </w:t>
      </w:r>
    </w:p>
    <w:p w14:paraId="71E74AAF" w14:textId="77777777" w:rsidR="00587D33" w:rsidRPr="003D3F7A" w:rsidRDefault="00587D33" w:rsidP="00B20EE3">
      <w:pPr>
        <w:rPr>
          <w:rFonts w:eastAsia="Calibri" w:cs="Arial"/>
        </w:rPr>
      </w:pPr>
    </w:p>
    <w:p w14:paraId="2FB14356" w14:textId="0A75C8FD" w:rsidR="00587D33" w:rsidRPr="003D3F7A" w:rsidRDefault="00587D33" w:rsidP="00B20EE3">
      <w:pPr>
        <w:rPr>
          <w:rFonts w:eastAsia="Calibri" w:cs="Arial"/>
        </w:rPr>
      </w:pPr>
      <w:r w:rsidRPr="003D3F7A">
        <w:rPr>
          <w:rFonts w:eastAsia="Calibri" w:cs="Arial"/>
        </w:rPr>
        <w:t xml:space="preserve">However, other influences </w:t>
      </w:r>
      <w:r w:rsidR="003570AB" w:rsidRPr="003D3F7A">
        <w:rPr>
          <w:rFonts w:eastAsia="Calibri" w:cs="Arial"/>
        </w:rPr>
        <w:t xml:space="preserve">governing work among older individuals are much more variable, especially </w:t>
      </w:r>
      <w:r w:rsidR="008165A6" w:rsidRPr="003D3F7A">
        <w:rPr>
          <w:rFonts w:eastAsia="Calibri" w:cs="Arial"/>
        </w:rPr>
        <w:t xml:space="preserve">over history.  The most </w:t>
      </w:r>
      <w:r w:rsidR="002C7515" w:rsidRPr="003D3F7A">
        <w:rPr>
          <w:rFonts w:eastAsia="Calibri" w:cs="Arial"/>
        </w:rPr>
        <w:t xml:space="preserve">important </w:t>
      </w:r>
      <w:r w:rsidR="008165A6" w:rsidRPr="003D3F7A">
        <w:rPr>
          <w:rFonts w:eastAsia="Calibri" w:cs="Arial"/>
        </w:rPr>
        <w:t xml:space="preserve">of these are </w:t>
      </w:r>
    </w:p>
    <w:p w14:paraId="76D5804F" w14:textId="77777777" w:rsidR="008165A6" w:rsidRPr="003D3F7A" w:rsidRDefault="008165A6" w:rsidP="00B20EE3">
      <w:pPr>
        <w:rPr>
          <w:rFonts w:eastAsia="Calibri" w:cs="Arial"/>
        </w:rPr>
      </w:pPr>
    </w:p>
    <w:p w14:paraId="10B306BD" w14:textId="718B0AE1" w:rsidR="008165A6" w:rsidRPr="003D3F7A" w:rsidRDefault="001E72BC" w:rsidP="001E72BC">
      <w:pPr>
        <w:pStyle w:val="ListParagraph"/>
        <w:numPr>
          <w:ilvl w:val="0"/>
          <w:numId w:val="3"/>
        </w:numPr>
        <w:rPr>
          <w:rFonts w:eastAsia="Calibri" w:cs="Arial"/>
        </w:rPr>
      </w:pPr>
      <w:r w:rsidRPr="003D3F7A">
        <w:rPr>
          <w:rFonts w:eastAsia="Calibri" w:cs="Arial"/>
        </w:rPr>
        <w:t xml:space="preserve">longevity – obviously people cannot work if they don’t remain alive into old age; </w:t>
      </w:r>
    </w:p>
    <w:p w14:paraId="2B06CBD4" w14:textId="2D19C1B6" w:rsidR="003D3524" w:rsidRPr="003D3F7A" w:rsidRDefault="001E72BC" w:rsidP="001E72BC">
      <w:pPr>
        <w:pStyle w:val="ListParagraph"/>
        <w:numPr>
          <w:ilvl w:val="0"/>
          <w:numId w:val="3"/>
        </w:numPr>
        <w:rPr>
          <w:rFonts w:eastAsia="Calibri" w:cs="Arial"/>
        </w:rPr>
      </w:pPr>
      <w:r w:rsidRPr="003D3F7A">
        <w:rPr>
          <w:rFonts w:eastAsia="Calibri" w:cs="Arial"/>
        </w:rPr>
        <w:t xml:space="preserve">reasonably good health, and the extent to which individuals have disabilities, especially severe ones (health and disability don’t always coincide); </w:t>
      </w:r>
    </w:p>
    <w:p w14:paraId="0E1C8C1E" w14:textId="5936D31F" w:rsidR="00D7384C" w:rsidRPr="003D3F7A" w:rsidRDefault="001E72BC" w:rsidP="001E72BC">
      <w:pPr>
        <w:pStyle w:val="ListParagraph"/>
        <w:numPr>
          <w:ilvl w:val="0"/>
          <w:numId w:val="3"/>
        </w:numPr>
        <w:rPr>
          <w:rFonts w:eastAsia="Calibri" w:cs="Arial"/>
        </w:rPr>
      </w:pPr>
      <w:r w:rsidRPr="003D3F7A">
        <w:rPr>
          <w:rFonts w:eastAsia="Calibri" w:cs="Arial"/>
        </w:rPr>
        <w:t xml:space="preserve">whether individuals can continue to pursue the kind of work they performed when younger; </w:t>
      </w:r>
    </w:p>
    <w:p w14:paraId="2DEFC6D0" w14:textId="760330E1" w:rsidR="00295790" w:rsidRPr="003D3F7A" w:rsidRDefault="001E72BC" w:rsidP="001E72BC">
      <w:pPr>
        <w:pStyle w:val="ListParagraph"/>
        <w:numPr>
          <w:ilvl w:val="0"/>
          <w:numId w:val="3"/>
        </w:numPr>
        <w:rPr>
          <w:rFonts w:eastAsia="Calibri" w:cs="Arial"/>
        </w:rPr>
      </w:pPr>
      <w:r w:rsidRPr="003D3F7A">
        <w:rPr>
          <w:rFonts w:eastAsia="Calibri" w:cs="Arial"/>
        </w:rPr>
        <w:t xml:space="preserve">societal attitudes toward work, especially those </w:t>
      </w:r>
      <w:r w:rsidR="003029A9">
        <w:rPr>
          <w:rFonts w:eastAsia="Calibri" w:cs="Arial"/>
        </w:rPr>
        <w:t xml:space="preserve">involving </w:t>
      </w:r>
      <w:r w:rsidRPr="003D3F7A">
        <w:rPr>
          <w:rFonts w:eastAsia="Calibri" w:cs="Arial"/>
        </w:rPr>
        <w:t xml:space="preserve">age and gender; </w:t>
      </w:r>
    </w:p>
    <w:p w14:paraId="059B5CC6" w14:textId="649E72B3" w:rsidR="00666ED2" w:rsidRPr="003D3F7A" w:rsidRDefault="001E72BC" w:rsidP="001E72BC">
      <w:pPr>
        <w:pStyle w:val="ListParagraph"/>
        <w:numPr>
          <w:ilvl w:val="0"/>
          <w:numId w:val="3"/>
        </w:numPr>
        <w:rPr>
          <w:rFonts w:eastAsia="Calibri" w:cs="Arial"/>
        </w:rPr>
      </w:pPr>
      <w:r w:rsidRPr="003D3F7A">
        <w:rPr>
          <w:rFonts w:eastAsia="Calibri" w:cs="Arial"/>
        </w:rPr>
        <w:t xml:space="preserve">how remunerative work is, especially compared to other sources of income such as private sector pensions, government assistance, and personal savings; </w:t>
      </w:r>
    </w:p>
    <w:p w14:paraId="7E29BDDC" w14:textId="6D8CD14B" w:rsidR="00B733E3" w:rsidRPr="003D3F7A" w:rsidRDefault="001E72BC" w:rsidP="001E72BC">
      <w:pPr>
        <w:pStyle w:val="ListParagraph"/>
        <w:numPr>
          <w:ilvl w:val="0"/>
          <w:numId w:val="3"/>
        </w:numPr>
        <w:rPr>
          <w:rFonts w:eastAsia="Calibri" w:cs="Arial"/>
        </w:rPr>
      </w:pPr>
      <w:r w:rsidRPr="003D3F7A">
        <w:rPr>
          <w:rFonts w:eastAsia="Calibri" w:cs="Arial"/>
        </w:rPr>
        <w:t>employer policies and practices governing work for older employees</w:t>
      </w:r>
      <w:r w:rsidR="00C96667" w:rsidRPr="003D3F7A">
        <w:rPr>
          <w:rFonts w:eastAsia="Calibri" w:cs="Arial"/>
        </w:rPr>
        <w:t xml:space="preserve">, including hiring </w:t>
      </w:r>
      <w:r w:rsidR="00A96C2A" w:rsidRPr="003D3F7A">
        <w:rPr>
          <w:rFonts w:eastAsia="Calibri" w:cs="Arial"/>
        </w:rPr>
        <w:t>them</w:t>
      </w:r>
      <w:r w:rsidRPr="003D3F7A">
        <w:rPr>
          <w:rFonts w:eastAsia="Calibri" w:cs="Arial"/>
        </w:rPr>
        <w:t xml:space="preserve">; and </w:t>
      </w:r>
    </w:p>
    <w:p w14:paraId="225D514B" w14:textId="5F7F5B34" w:rsidR="008465E9" w:rsidRPr="003D3F7A" w:rsidRDefault="001E72BC" w:rsidP="001E72BC">
      <w:pPr>
        <w:pStyle w:val="ListParagraph"/>
        <w:numPr>
          <w:ilvl w:val="0"/>
          <w:numId w:val="3"/>
        </w:numPr>
        <w:rPr>
          <w:rFonts w:eastAsia="Calibri" w:cs="Arial"/>
        </w:rPr>
      </w:pPr>
      <w:r w:rsidRPr="003D3F7A">
        <w:rPr>
          <w:rFonts w:eastAsia="Calibri" w:cs="Arial"/>
        </w:rPr>
        <w:t xml:space="preserve">relatively rare situations, such as major wars and pandemics, that can temporarily have tremendous influence on whether older individuals work.  </w:t>
      </w:r>
    </w:p>
    <w:p w14:paraId="6829BAEA" w14:textId="77777777" w:rsidR="00010AB6" w:rsidRPr="00B20EE3" w:rsidRDefault="00010AB6" w:rsidP="00B20EE3">
      <w:pPr>
        <w:rPr>
          <w:rFonts w:eastAsia="Calibri" w:cs="Arial"/>
        </w:rPr>
      </w:pPr>
    </w:p>
    <w:p w14:paraId="475B83ED" w14:textId="77777777" w:rsidR="009B1A23" w:rsidRPr="003D3F7A" w:rsidRDefault="001E72BC" w:rsidP="00B20EE3">
      <w:pPr>
        <w:rPr>
          <w:rFonts w:eastAsia="Calibri" w:cs="Arial"/>
        </w:rPr>
      </w:pPr>
      <w:r w:rsidRPr="003D3F7A">
        <w:rPr>
          <w:rFonts w:eastAsia="Calibri" w:cs="Arial"/>
        </w:rPr>
        <w:t xml:space="preserve">Historically, some of the major influences upon work </w:t>
      </w:r>
      <w:r w:rsidR="004D38EB" w:rsidRPr="003D3F7A">
        <w:rPr>
          <w:rFonts w:eastAsia="Calibri" w:cs="Arial"/>
        </w:rPr>
        <w:t xml:space="preserve">among the elderly include </w:t>
      </w:r>
    </w:p>
    <w:p w14:paraId="5D1A43B1" w14:textId="77777777" w:rsidR="005154FE" w:rsidRPr="003D3F7A" w:rsidRDefault="005154FE" w:rsidP="00B20EE3">
      <w:pPr>
        <w:rPr>
          <w:rFonts w:eastAsia="Calibri" w:cs="Arial"/>
        </w:rPr>
      </w:pPr>
    </w:p>
    <w:p w14:paraId="3E03CC58" w14:textId="4F6166A1" w:rsidR="009B1A23" w:rsidRPr="003D3F7A" w:rsidRDefault="004D38EB" w:rsidP="00A96C2A">
      <w:pPr>
        <w:pStyle w:val="ListParagraph"/>
        <w:numPr>
          <w:ilvl w:val="0"/>
          <w:numId w:val="4"/>
        </w:numPr>
        <w:rPr>
          <w:rFonts w:eastAsia="Calibri" w:cs="Arial"/>
        </w:rPr>
      </w:pPr>
      <w:r w:rsidRPr="003D3F7A">
        <w:rPr>
          <w:rFonts w:eastAsia="Calibri" w:cs="Arial"/>
        </w:rPr>
        <w:t>the end of slavery</w:t>
      </w:r>
      <w:r w:rsidR="007F2A64" w:rsidRPr="003D3F7A">
        <w:rPr>
          <w:rFonts w:eastAsia="Calibri" w:cs="Arial"/>
        </w:rPr>
        <w:t xml:space="preserve">, allowing </w:t>
      </w:r>
      <w:r w:rsidR="00D36024">
        <w:rPr>
          <w:rFonts w:eastAsia="Calibri" w:cs="Arial"/>
        </w:rPr>
        <w:t xml:space="preserve">for the first time such freed </w:t>
      </w:r>
      <w:r w:rsidR="007F2A64" w:rsidRPr="003D3F7A">
        <w:rPr>
          <w:rFonts w:eastAsia="Calibri" w:cs="Arial"/>
        </w:rPr>
        <w:t xml:space="preserve">older individuals </w:t>
      </w:r>
      <w:r w:rsidR="009B6E02">
        <w:rPr>
          <w:rFonts w:eastAsia="Calibri" w:cs="Arial"/>
        </w:rPr>
        <w:t xml:space="preserve">some ability </w:t>
      </w:r>
      <w:r w:rsidR="007F2A64" w:rsidRPr="003D3F7A">
        <w:rPr>
          <w:rFonts w:eastAsia="Calibri" w:cs="Arial"/>
        </w:rPr>
        <w:t xml:space="preserve">to </w:t>
      </w:r>
      <w:r w:rsidR="007F2A64" w:rsidRPr="003D3F7A">
        <w:rPr>
          <w:rFonts w:eastAsia="Calibri" w:cs="Arial"/>
          <w:i/>
          <w:iCs/>
        </w:rPr>
        <w:t>choose</w:t>
      </w:r>
      <w:r w:rsidR="007F2A64" w:rsidRPr="003D3F7A">
        <w:rPr>
          <w:rFonts w:eastAsia="Calibri" w:cs="Arial"/>
        </w:rPr>
        <w:t xml:space="preserve"> to work or not</w:t>
      </w:r>
      <w:r w:rsidR="009B1A23" w:rsidRPr="003D3F7A">
        <w:rPr>
          <w:rFonts w:eastAsia="Calibri" w:cs="Arial"/>
        </w:rPr>
        <w:t>;</w:t>
      </w:r>
      <w:r w:rsidRPr="003D3F7A">
        <w:rPr>
          <w:rFonts w:eastAsia="Calibri" w:cs="Arial"/>
        </w:rPr>
        <w:t xml:space="preserve"> </w:t>
      </w:r>
    </w:p>
    <w:p w14:paraId="5907D2E5" w14:textId="02A1B093" w:rsidR="00B20EE3" w:rsidRPr="003D3F7A" w:rsidRDefault="009B1A23" w:rsidP="00A96C2A">
      <w:pPr>
        <w:pStyle w:val="ListParagraph"/>
        <w:numPr>
          <w:ilvl w:val="0"/>
          <w:numId w:val="4"/>
        </w:numPr>
        <w:rPr>
          <w:rFonts w:eastAsia="Calibri" w:cs="Arial"/>
        </w:rPr>
      </w:pPr>
      <w:r w:rsidRPr="003D3F7A">
        <w:rPr>
          <w:rFonts w:eastAsia="Calibri" w:cs="Arial"/>
        </w:rPr>
        <w:t xml:space="preserve">rising affluence, </w:t>
      </w:r>
      <w:r w:rsidR="007F2A64" w:rsidRPr="003D3F7A">
        <w:rPr>
          <w:rFonts w:eastAsia="Calibri" w:cs="Arial"/>
        </w:rPr>
        <w:t xml:space="preserve">which allowed individuals to retire, or for their families to support </w:t>
      </w:r>
      <w:r w:rsidR="005154FE" w:rsidRPr="003D3F7A">
        <w:rPr>
          <w:rFonts w:eastAsia="Calibri" w:cs="Arial"/>
        </w:rPr>
        <w:t xml:space="preserve">their retirement; </w:t>
      </w:r>
    </w:p>
    <w:p w14:paraId="7D586A0E" w14:textId="77777777" w:rsidR="00CE4B30" w:rsidRPr="003D3F7A" w:rsidRDefault="005154FE" w:rsidP="00A96C2A">
      <w:pPr>
        <w:pStyle w:val="ListParagraph"/>
        <w:numPr>
          <w:ilvl w:val="0"/>
          <w:numId w:val="4"/>
        </w:numPr>
        <w:rPr>
          <w:rFonts w:eastAsia="Calibri" w:cs="Arial"/>
        </w:rPr>
      </w:pPr>
      <w:r w:rsidRPr="003D3F7A">
        <w:rPr>
          <w:rFonts w:eastAsia="Calibri" w:cs="Arial"/>
        </w:rPr>
        <w:t xml:space="preserve">the introduction of </w:t>
      </w:r>
      <w:r w:rsidR="00CE4B30" w:rsidRPr="003D3F7A">
        <w:rPr>
          <w:rFonts w:eastAsia="Calibri" w:cs="Arial"/>
        </w:rPr>
        <w:t xml:space="preserve">governmental </w:t>
      </w:r>
      <w:r w:rsidR="00B449CD" w:rsidRPr="003D3F7A">
        <w:rPr>
          <w:rFonts w:eastAsia="Calibri" w:cs="Arial"/>
        </w:rPr>
        <w:t xml:space="preserve">Social Security, especially Old Age Insurance and multiple disability </w:t>
      </w:r>
      <w:r w:rsidR="00CE4B30" w:rsidRPr="003D3F7A">
        <w:rPr>
          <w:rFonts w:eastAsia="Calibri" w:cs="Arial"/>
        </w:rPr>
        <w:t xml:space="preserve">income support programs; </w:t>
      </w:r>
    </w:p>
    <w:p w14:paraId="5D7C54B9" w14:textId="63E1A5D6" w:rsidR="005154FE" w:rsidRPr="003D3F7A" w:rsidRDefault="00CE4B30" w:rsidP="00A96C2A">
      <w:pPr>
        <w:pStyle w:val="ListParagraph"/>
        <w:numPr>
          <w:ilvl w:val="0"/>
          <w:numId w:val="4"/>
        </w:numPr>
        <w:rPr>
          <w:rFonts w:eastAsia="Calibri" w:cs="Arial"/>
        </w:rPr>
      </w:pPr>
      <w:r w:rsidRPr="003D3F7A">
        <w:rPr>
          <w:rFonts w:eastAsia="Calibri" w:cs="Arial"/>
        </w:rPr>
        <w:t xml:space="preserve">the rise – and subsequent decline – of private sector pension </w:t>
      </w:r>
      <w:r w:rsidR="00BC6239" w:rsidRPr="003D3F7A">
        <w:rPr>
          <w:rFonts w:eastAsia="Calibri" w:cs="Arial"/>
        </w:rPr>
        <w:t xml:space="preserve">benefits; </w:t>
      </w:r>
    </w:p>
    <w:p w14:paraId="47B31F5D" w14:textId="46AC21C9" w:rsidR="00BC6239" w:rsidRPr="003D3F7A" w:rsidRDefault="00BC6239" w:rsidP="00A96C2A">
      <w:pPr>
        <w:pStyle w:val="ListParagraph"/>
        <w:numPr>
          <w:ilvl w:val="0"/>
          <w:numId w:val="4"/>
        </w:numPr>
        <w:rPr>
          <w:rFonts w:eastAsia="Calibri" w:cs="Arial"/>
        </w:rPr>
      </w:pPr>
      <w:r w:rsidRPr="003D3F7A">
        <w:rPr>
          <w:rFonts w:eastAsia="Calibri" w:cs="Arial"/>
        </w:rPr>
        <w:t xml:space="preserve">changing societal attitudes toward work among the elderly, first </w:t>
      </w:r>
      <w:r w:rsidR="00330E3B" w:rsidRPr="003D3F7A">
        <w:rPr>
          <w:rFonts w:eastAsia="Calibri" w:cs="Arial"/>
        </w:rPr>
        <w:t xml:space="preserve">a widespread belief that they were entitled to retire, and more recently a growing belief that elderly individuals should </w:t>
      </w:r>
      <w:r w:rsidR="00330E3B" w:rsidRPr="003D3F7A">
        <w:rPr>
          <w:rFonts w:eastAsia="Calibri" w:cs="Arial"/>
          <w:i/>
          <w:iCs/>
        </w:rPr>
        <w:t>continue</w:t>
      </w:r>
      <w:r w:rsidR="00330E3B" w:rsidRPr="003D3F7A">
        <w:rPr>
          <w:rFonts w:eastAsia="Calibri" w:cs="Arial"/>
        </w:rPr>
        <w:t xml:space="preserve"> to work; </w:t>
      </w:r>
    </w:p>
    <w:p w14:paraId="0B1FAA78" w14:textId="6886878F" w:rsidR="00330E3B" w:rsidRPr="003D3F7A" w:rsidRDefault="00BA6ACB" w:rsidP="00A96C2A">
      <w:pPr>
        <w:pStyle w:val="ListParagraph"/>
        <w:numPr>
          <w:ilvl w:val="0"/>
          <w:numId w:val="4"/>
        </w:numPr>
        <w:rPr>
          <w:rFonts w:eastAsia="Calibri" w:cs="Arial"/>
        </w:rPr>
      </w:pPr>
      <w:r w:rsidRPr="003D3F7A">
        <w:rPr>
          <w:rFonts w:eastAsia="Calibri" w:cs="Arial"/>
        </w:rPr>
        <w:t xml:space="preserve">radical changes in general views about women and work, which </w:t>
      </w:r>
      <w:r w:rsidR="00D729D7" w:rsidRPr="003D3F7A">
        <w:rPr>
          <w:rFonts w:eastAsia="Calibri" w:cs="Arial"/>
        </w:rPr>
        <w:t xml:space="preserve">also affected their tendency to work at older ages; </w:t>
      </w:r>
    </w:p>
    <w:p w14:paraId="2A9ED39B" w14:textId="09C9120D" w:rsidR="00D729D7" w:rsidRPr="003D3F7A" w:rsidRDefault="001D404E" w:rsidP="00A96C2A">
      <w:pPr>
        <w:pStyle w:val="ListParagraph"/>
        <w:numPr>
          <w:ilvl w:val="0"/>
          <w:numId w:val="4"/>
        </w:numPr>
        <w:rPr>
          <w:rFonts w:eastAsia="Calibri" w:cs="Arial"/>
        </w:rPr>
      </w:pPr>
      <w:r w:rsidRPr="003D3F7A">
        <w:rPr>
          <w:rFonts w:eastAsia="Calibri" w:cs="Arial"/>
        </w:rPr>
        <w:t>government support for care of infirm older individuals (apart from income support)</w:t>
      </w:r>
      <w:r w:rsidR="00E32E55" w:rsidRPr="003D3F7A">
        <w:rPr>
          <w:rFonts w:eastAsia="Calibri" w:cs="Arial"/>
        </w:rPr>
        <w:t>, as many individuals otherwise capable of paid work must assist infirm family members (a</w:t>
      </w:r>
      <w:r w:rsidR="007A7B29" w:rsidRPr="003D3F7A">
        <w:rPr>
          <w:rFonts w:eastAsia="Calibri" w:cs="Arial"/>
        </w:rPr>
        <w:t xml:space="preserve"> task that disproportionately falls upon women, in part because of their greater longevity); </w:t>
      </w:r>
      <w:r w:rsidR="00F3218C" w:rsidRPr="003D3F7A">
        <w:rPr>
          <w:rFonts w:eastAsia="Calibri" w:cs="Arial"/>
        </w:rPr>
        <w:t xml:space="preserve">and </w:t>
      </w:r>
    </w:p>
    <w:p w14:paraId="2BB4E466" w14:textId="0755425F" w:rsidR="00F3218C" w:rsidRPr="003D3F7A" w:rsidRDefault="004E7396" w:rsidP="00A96C2A">
      <w:pPr>
        <w:pStyle w:val="ListParagraph"/>
        <w:numPr>
          <w:ilvl w:val="0"/>
          <w:numId w:val="4"/>
        </w:numPr>
        <w:rPr>
          <w:rFonts w:eastAsia="Calibri" w:cs="Arial"/>
        </w:rPr>
      </w:pPr>
      <w:r w:rsidRPr="003D3F7A">
        <w:rPr>
          <w:rFonts w:eastAsia="Calibri" w:cs="Arial"/>
        </w:rPr>
        <w:t xml:space="preserve">sufficiently adequate </w:t>
      </w:r>
      <w:r w:rsidR="00F3218C" w:rsidRPr="003D3F7A">
        <w:rPr>
          <w:rFonts w:eastAsia="Calibri" w:cs="Arial"/>
        </w:rPr>
        <w:t xml:space="preserve">health insurance </w:t>
      </w:r>
      <w:r w:rsidRPr="003D3F7A">
        <w:rPr>
          <w:rFonts w:eastAsia="Calibri" w:cs="Arial"/>
        </w:rPr>
        <w:t>such that individuals</w:t>
      </w:r>
      <w:r w:rsidR="00FE4330" w:rsidRPr="003D3F7A">
        <w:rPr>
          <w:rFonts w:eastAsia="Calibri" w:cs="Arial"/>
        </w:rPr>
        <w:t>’</w:t>
      </w:r>
      <w:r w:rsidRPr="003D3F7A">
        <w:rPr>
          <w:rFonts w:eastAsia="Calibri" w:cs="Arial"/>
        </w:rPr>
        <w:t xml:space="preserve"> income </w:t>
      </w:r>
      <w:r w:rsidR="0034592F">
        <w:rPr>
          <w:rFonts w:eastAsia="Calibri" w:cs="Arial"/>
        </w:rPr>
        <w:t xml:space="preserve">aren’t </w:t>
      </w:r>
      <w:r w:rsidRPr="003D3F7A">
        <w:rPr>
          <w:rFonts w:eastAsia="Calibri" w:cs="Arial"/>
        </w:rPr>
        <w:t xml:space="preserve">drained </w:t>
      </w:r>
      <w:r w:rsidR="002B1D71" w:rsidRPr="003D3F7A">
        <w:rPr>
          <w:rFonts w:eastAsia="Calibri" w:cs="Arial"/>
        </w:rPr>
        <w:t xml:space="preserve">through medical costs.  </w:t>
      </w:r>
      <w:r w:rsidRPr="003D3F7A">
        <w:rPr>
          <w:rFonts w:eastAsia="Calibri" w:cs="Arial"/>
        </w:rPr>
        <w:t xml:space="preserve"> </w:t>
      </w:r>
    </w:p>
    <w:p w14:paraId="17E1F283" w14:textId="77777777" w:rsidR="006C7892" w:rsidRPr="003D3F7A" w:rsidRDefault="006C7892">
      <w:pPr>
        <w:rPr>
          <w:rFonts w:cs="Arial"/>
        </w:rPr>
      </w:pPr>
    </w:p>
    <w:p w14:paraId="56090593" w14:textId="7DE30CC5" w:rsidR="00116F5A" w:rsidRDefault="00E13B0F">
      <w:pPr>
        <w:rPr>
          <w:rFonts w:cs="Arial"/>
        </w:rPr>
      </w:pPr>
      <w:r w:rsidRPr="003D3F7A">
        <w:rPr>
          <w:rFonts w:cs="Arial"/>
        </w:rPr>
        <w:t xml:space="preserve">People tend to take </w:t>
      </w:r>
      <w:r w:rsidR="004F4F2C" w:rsidRPr="003D3F7A">
        <w:rPr>
          <w:rFonts w:cs="Arial"/>
        </w:rPr>
        <w:t xml:space="preserve">the relative generosity of </w:t>
      </w:r>
      <w:r w:rsidR="001608C4">
        <w:rPr>
          <w:rFonts w:cs="Arial"/>
        </w:rPr>
        <w:t>some</w:t>
      </w:r>
      <w:r w:rsidR="00D97F19" w:rsidRPr="003D3F7A">
        <w:rPr>
          <w:rFonts w:cs="Arial"/>
        </w:rPr>
        <w:t xml:space="preserve"> of the above factors for granted, assuming that they will necessarily continue, but </w:t>
      </w:r>
      <w:r w:rsidR="00FC7880" w:rsidRPr="003D3F7A">
        <w:rPr>
          <w:rFonts w:cs="Arial"/>
        </w:rPr>
        <w:t>this is unwarranted</w:t>
      </w:r>
      <w:r w:rsidR="001D4C9B" w:rsidRPr="003D3F7A">
        <w:rPr>
          <w:rFonts w:cs="Arial"/>
        </w:rPr>
        <w:t>.  There has been a movement for decades to privatize Old Age Insurance</w:t>
      </w:r>
      <w:r w:rsidR="00775CF8" w:rsidRPr="003D3F7A">
        <w:rPr>
          <w:rFonts w:cs="Arial"/>
        </w:rPr>
        <w:t>, and continuing efforts to raise the retirement age (despite U.S. life expectancy first plateauing, and then declining)</w:t>
      </w:r>
      <w:r w:rsidR="007334A4" w:rsidRPr="003D3F7A">
        <w:rPr>
          <w:rFonts w:cs="Arial"/>
        </w:rPr>
        <w:t>.  Many elderly individuals can retire and live ap</w:t>
      </w:r>
      <w:r w:rsidR="00166FD2" w:rsidRPr="003D3F7A">
        <w:rPr>
          <w:rFonts w:cs="Arial"/>
        </w:rPr>
        <w:t>art from their families, but this only occurred because of affluence and more generous government programs.  Without these supports</w:t>
      </w:r>
      <w:r w:rsidR="00912843" w:rsidRPr="003D3F7A">
        <w:rPr>
          <w:rFonts w:cs="Arial"/>
        </w:rPr>
        <w:t xml:space="preserve">, elderly individuals </w:t>
      </w:r>
      <w:r w:rsidR="002E0EB3" w:rsidRPr="003D3F7A">
        <w:rPr>
          <w:rFonts w:cs="Arial"/>
        </w:rPr>
        <w:t>would be</w:t>
      </w:r>
      <w:r w:rsidR="00912843" w:rsidRPr="003D3F7A">
        <w:rPr>
          <w:rFonts w:cs="Arial"/>
        </w:rPr>
        <w:t xml:space="preserve"> dependent on their </w:t>
      </w:r>
      <w:r w:rsidR="00132BB3" w:rsidRPr="003D3F7A">
        <w:rPr>
          <w:rFonts w:cs="Arial"/>
        </w:rPr>
        <w:t>families.  Prior to social security benefits, families often resented the burden of</w:t>
      </w:r>
      <w:r w:rsidR="009D2C3C" w:rsidRPr="003D3F7A">
        <w:rPr>
          <w:rFonts w:cs="Arial"/>
        </w:rPr>
        <w:t xml:space="preserve"> their</w:t>
      </w:r>
      <w:r w:rsidR="00132BB3" w:rsidRPr="003D3F7A">
        <w:rPr>
          <w:rFonts w:cs="Arial"/>
        </w:rPr>
        <w:t xml:space="preserve"> non-working elder</w:t>
      </w:r>
      <w:r w:rsidR="009D2C3C" w:rsidRPr="003D3F7A">
        <w:rPr>
          <w:rFonts w:cs="Arial"/>
        </w:rPr>
        <w:t xml:space="preserve">s, </w:t>
      </w:r>
      <w:r w:rsidR="000D2CA7" w:rsidRPr="003D3F7A">
        <w:rPr>
          <w:rFonts w:cs="Arial"/>
        </w:rPr>
        <w:t xml:space="preserve">and </w:t>
      </w:r>
      <w:r w:rsidR="009D2C3C" w:rsidRPr="003D3F7A">
        <w:rPr>
          <w:rFonts w:cs="Arial"/>
        </w:rPr>
        <w:t>sometimes severely neglected and even gradually starved them to death</w:t>
      </w:r>
      <w:r w:rsidR="006C6E5E" w:rsidRPr="003D3F7A">
        <w:rPr>
          <w:rFonts w:cs="Arial"/>
        </w:rPr>
        <w:t xml:space="preserve"> to reduce or eliminate that burden (this has been documented in France, but presumably occurred in America as well).  </w:t>
      </w:r>
      <w:r w:rsidR="001D3366" w:rsidRPr="003D3F7A">
        <w:rPr>
          <w:rFonts w:cs="Arial"/>
        </w:rPr>
        <w:t>The continuing aging of the U.S. population will almost certainly breed greater resentments</w:t>
      </w:r>
      <w:r w:rsidR="00F84161" w:rsidRPr="003D3F7A">
        <w:rPr>
          <w:rFonts w:cs="Arial"/>
        </w:rPr>
        <w:t xml:space="preserve"> toward them in the future, and such attitudes have already been emerging for some time.  </w:t>
      </w:r>
    </w:p>
    <w:p w14:paraId="18BC3A5B" w14:textId="77777777" w:rsidR="00116F5A" w:rsidRDefault="00116F5A">
      <w:pPr>
        <w:rPr>
          <w:rFonts w:cs="Arial"/>
        </w:rPr>
      </w:pPr>
    </w:p>
    <w:p w14:paraId="62322D30" w14:textId="3327CBA5" w:rsidR="006C7892" w:rsidRPr="003D3F7A" w:rsidRDefault="00276ADE">
      <w:pPr>
        <w:rPr>
          <w:rFonts w:cs="Arial"/>
        </w:rPr>
      </w:pPr>
      <w:r>
        <w:rPr>
          <w:rFonts w:cs="Arial"/>
        </w:rPr>
        <w:t xml:space="preserve">Similarly, the attitudes of employers and other individuals in </w:t>
      </w:r>
      <w:r w:rsidR="00A744B6">
        <w:rPr>
          <w:rFonts w:cs="Arial"/>
        </w:rPr>
        <w:t>power are not necessarily kindly toward the elderly</w:t>
      </w:r>
      <w:r w:rsidR="00724D42">
        <w:rPr>
          <w:rFonts w:cs="Arial"/>
        </w:rPr>
        <w:t xml:space="preserve">, and </w:t>
      </w:r>
      <w:r w:rsidR="00165015">
        <w:rPr>
          <w:rFonts w:cs="Arial"/>
        </w:rPr>
        <w:t xml:space="preserve">their proclivity to take advantage of their weakness is only restrained by </w:t>
      </w:r>
      <w:r w:rsidR="009423E6">
        <w:rPr>
          <w:rFonts w:cs="Arial"/>
        </w:rPr>
        <w:t xml:space="preserve">active enforcement of legislation, which often necessitates private legal action by </w:t>
      </w:r>
      <w:r w:rsidR="001E4F70">
        <w:rPr>
          <w:rFonts w:cs="Arial"/>
        </w:rPr>
        <w:t xml:space="preserve">older </w:t>
      </w:r>
      <w:r w:rsidR="009423E6">
        <w:rPr>
          <w:rFonts w:cs="Arial"/>
        </w:rPr>
        <w:t xml:space="preserve">individuals </w:t>
      </w:r>
      <w:r w:rsidR="001E4F70">
        <w:rPr>
          <w:rFonts w:cs="Arial"/>
        </w:rPr>
        <w:t xml:space="preserve">themselves.  </w:t>
      </w:r>
      <w:r w:rsidR="007C0330">
        <w:rPr>
          <w:rFonts w:cs="Arial"/>
        </w:rPr>
        <w:t xml:space="preserve">It is noteworthy that as long ago as the sixth century, the saint Symeon Stylites the Younger </w:t>
      </w:r>
      <w:r w:rsidR="001D7AA0">
        <w:rPr>
          <w:rFonts w:cs="Arial"/>
        </w:rPr>
        <w:t xml:space="preserve">highlighted older individuals as special targets for </w:t>
      </w:r>
      <w:r w:rsidR="001D7AA0">
        <w:rPr>
          <w:rFonts w:cs="Arial"/>
        </w:rPr>
        <w:lastRenderedPageBreak/>
        <w:t>oppr</w:t>
      </w:r>
      <w:r w:rsidR="00D2487F">
        <w:rPr>
          <w:rFonts w:cs="Arial"/>
        </w:rPr>
        <w:t>es</w:t>
      </w:r>
      <w:r w:rsidR="00F12349">
        <w:rPr>
          <w:rFonts w:cs="Arial"/>
        </w:rPr>
        <w:t>sion, identifying the</w:t>
      </w:r>
      <w:r w:rsidR="005A2184">
        <w:rPr>
          <w:rFonts w:cs="Arial"/>
        </w:rPr>
        <w:t xml:space="preserve"> basic attitudes of the powerful as</w:t>
      </w:r>
      <w:r w:rsidR="009724F3">
        <w:rPr>
          <w:rFonts w:cs="Arial"/>
        </w:rPr>
        <w:t>,</w:t>
      </w:r>
      <w:r w:rsidR="005A2184">
        <w:rPr>
          <w:rFonts w:cs="Arial"/>
        </w:rPr>
        <w:t xml:space="preserve"> “I will oppress </w:t>
      </w:r>
      <w:r w:rsidR="00413BE5">
        <w:rPr>
          <w:rFonts w:cs="Arial"/>
        </w:rPr>
        <w:t>the pauper, I will not spare widows, nor will I respect the grey hair of the old man</w:t>
      </w:r>
      <w:r w:rsidR="00644A46">
        <w:rPr>
          <w:rFonts w:cs="Arial"/>
        </w:rPr>
        <w:t>…for weakness is exposed as useless.”</w:t>
      </w:r>
      <w:r w:rsidR="00644A46">
        <w:rPr>
          <w:rStyle w:val="FootnoteReference"/>
          <w:rFonts w:cs="Arial"/>
        </w:rPr>
        <w:footnoteReference w:id="7"/>
      </w:r>
    </w:p>
    <w:p w14:paraId="131D2193" w14:textId="77777777" w:rsidR="00700A67" w:rsidRPr="003D3F7A" w:rsidRDefault="00700A67">
      <w:pPr>
        <w:rPr>
          <w:rFonts w:cs="Arial"/>
        </w:rPr>
      </w:pPr>
    </w:p>
    <w:p w14:paraId="4092C530" w14:textId="08475B2C" w:rsidR="00700A67" w:rsidRPr="003D3F7A" w:rsidRDefault="00AB1446">
      <w:pPr>
        <w:rPr>
          <w:rFonts w:cs="Arial"/>
        </w:rPr>
      </w:pPr>
      <w:r w:rsidRPr="003D3F7A">
        <w:rPr>
          <w:rFonts w:cs="Arial"/>
        </w:rPr>
        <w:t xml:space="preserve">The following analysis will consider only the most important of the above factors.  </w:t>
      </w:r>
      <w:r w:rsidR="00867545" w:rsidRPr="003D3F7A">
        <w:rPr>
          <w:rFonts w:cs="Arial"/>
        </w:rPr>
        <w:t xml:space="preserve">We will first review some of the most important background trends, </w:t>
      </w:r>
      <w:r w:rsidR="00FD0AF6" w:rsidRPr="003D3F7A">
        <w:rPr>
          <w:rFonts w:cs="Arial"/>
        </w:rPr>
        <w:t xml:space="preserve">then present </w:t>
      </w:r>
      <w:r w:rsidR="00591C3A" w:rsidRPr="003D3F7A">
        <w:rPr>
          <w:rFonts w:cs="Arial"/>
        </w:rPr>
        <w:t xml:space="preserve">employment rates by age, and attempt </w:t>
      </w:r>
      <w:r w:rsidR="00CD779F">
        <w:rPr>
          <w:rFonts w:cs="Arial"/>
        </w:rPr>
        <w:t>some</w:t>
      </w:r>
      <w:r w:rsidR="00591C3A" w:rsidRPr="003D3F7A">
        <w:rPr>
          <w:rFonts w:cs="Arial"/>
        </w:rPr>
        <w:t xml:space="preserve"> explanations for these trends. </w:t>
      </w:r>
    </w:p>
    <w:p w14:paraId="6CE9383B" w14:textId="77777777" w:rsidR="002B1D71" w:rsidRPr="003D3F7A" w:rsidRDefault="002B1D71">
      <w:pPr>
        <w:rPr>
          <w:rFonts w:cs="Arial"/>
        </w:rPr>
      </w:pPr>
    </w:p>
    <w:p w14:paraId="266854F0" w14:textId="4C70666D" w:rsidR="002B1D71" w:rsidRPr="003D3F7A" w:rsidRDefault="00591C3A">
      <w:pPr>
        <w:rPr>
          <w:rFonts w:cs="Arial"/>
        </w:rPr>
      </w:pPr>
      <w:r w:rsidRPr="003D3F7A">
        <w:rPr>
          <w:rFonts w:cs="Arial"/>
          <w:b/>
          <w:bCs/>
        </w:rPr>
        <w:t>Longevity.</w:t>
      </w:r>
      <w:r w:rsidRPr="003D3F7A">
        <w:rPr>
          <w:rFonts w:cs="Arial"/>
        </w:rPr>
        <w:t xml:space="preserve">  </w:t>
      </w:r>
      <w:r w:rsidR="003D5610" w:rsidRPr="003D3F7A">
        <w:rPr>
          <w:rFonts w:cs="Arial"/>
        </w:rPr>
        <w:t>The prevalence of old age itself should not be taken for granted, and was an anomaly throughout most of hum</w:t>
      </w:r>
      <w:r w:rsidR="002B11ED" w:rsidRPr="003D3F7A">
        <w:rPr>
          <w:rFonts w:cs="Arial"/>
        </w:rPr>
        <w:t xml:space="preserve">an </w:t>
      </w:r>
      <w:r w:rsidR="003D5610" w:rsidRPr="003D3F7A">
        <w:rPr>
          <w:rFonts w:cs="Arial"/>
        </w:rPr>
        <w:t xml:space="preserve">history.  </w:t>
      </w:r>
      <w:r w:rsidR="005326AC" w:rsidRPr="003D3F7A">
        <w:rPr>
          <w:rFonts w:cs="Arial"/>
        </w:rPr>
        <w:t>Average U.S. life expectancy at birth was only 38 years in 1850</w:t>
      </w:r>
      <w:r w:rsidR="003D2E3E" w:rsidRPr="003D3F7A">
        <w:rPr>
          <w:rFonts w:cs="Arial"/>
        </w:rPr>
        <w:t xml:space="preserve"> (see the chart below)</w:t>
      </w:r>
      <w:r w:rsidR="005326AC" w:rsidRPr="003D3F7A">
        <w:rPr>
          <w:rFonts w:cs="Arial"/>
        </w:rPr>
        <w:t xml:space="preserve">, not radically greater than the approximately </w:t>
      </w:r>
      <w:r w:rsidR="00B95F24" w:rsidRPr="003D3F7A">
        <w:rPr>
          <w:rFonts w:cs="Arial"/>
        </w:rPr>
        <w:t xml:space="preserve">30 years estimated </w:t>
      </w:r>
      <w:r w:rsidR="004A5FE2">
        <w:rPr>
          <w:rFonts w:cs="Arial"/>
        </w:rPr>
        <w:t xml:space="preserve">at the </w:t>
      </w:r>
      <w:r w:rsidR="00CE717D">
        <w:rPr>
          <w:rFonts w:cs="Arial"/>
        </w:rPr>
        <w:t>upper</w:t>
      </w:r>
      <w:r w:rsidR="004A5FE2">
        <w:rPr>
          <w:rFonts w:cs="Arial"/>
        </w:rPr>
        <w:t xml:space="preserve"> range </w:t>
      </w:r>
      <w:r w:rsidR="00B95F24" w:rsidRPr="003D3F7A">
        <w:rPr>
          <w:rFonts w:cs="Arial"/>
        </w:rPr>
        <w:t xml:space="preserve">for the ancient Roman empire.  </w:t>
      </w:r>
      <w:r w:rsidR="0084063F" w:rsidRPr="003D3F7A">
        <w:rPr>
          <w:rFonts w:cs="Arial"/>
        </w:rPr>
        <w:t xml:space="preserve">Wars, </w:t>
      </w:r>
      <w:r w:rsidR="00F37497" w:rsidRPr="003D3F7A">
        <w:rPr>
          <w:rFonts w:cs="Arial"/>
        </w:rPr>
        <w:t xml:space="preserve">diseases, and economic depressions </w:t>
      </w:r>
      <w:r w:rsidR="00BE108B" w:rsidRPr="003D3F7A">
        <w:rPr>
          <w:rFonts w:cs="Arial"/>
        </w:rPr>
        <w:t xml:space="preserve">can </w:t>
      </w:r>
      <w:r w:rsidR="007F5D8C" w:rsidRPr="003D3F7A">
        <w:rPr>
          <w:rFonts w:cs="Arial"/>
        </w:rPr>
        <w:t xml:space="preserve">significantly reduce life expectancy, as shown in the chart below for the post-Civil War Period, the 1918-1920 flu pandemic, the Great Depression, and to a lesser extent the coronavirus </w:t>
      </w:r>
      <w:r w:rsidR="0086157A" w:rsidRPr="003D3F7A">
        <w:rPr>
          <w:rFonts w:cs="Arial"/>
        </w:rPr>
        <w:t>pandemic.</w:t>
      </w:r>
      <w:r w:rsidR="009C28FE" w:rsidRPr="003D3F7A">
        <w:rPr>
          <w:rFonts w:cs="Arial"/>
        </w:rPr>
        <w:t xml:space="preserve">  </w:t>
      </w:r>
    </w:p>
    <w:p w14:paraId="1AA43BC0" w14:textId="77777777" w:rsidR="00396258" w:rsidRPr="003D3F7A" w:rsidRDefault="00396258">
      <w:pPr>
        <w:rPr>
          <w:rFonts w:cs="Arial"/>
        </w:rPr>
      </w:pPr>
    </w:p>
    <w:p w14:paraId="51F99B18" w14:textId="5CFC9731" w:rsidR="00396258" w:rsidRDefault="00396258">
      <w:pPr>
        <w:rPr>
          <w:rFonts w:cs="Arial"/>
        </w:rPr>
      </w:pPr>
      <w:r w:rsidRPr="003D3F7A">
        <w:rPr>
          <w:rFonts w:cs="Arial"/>
        </w:rPr>
        <w:t xml:space="preserve">The chart also shows the potential impact of </w:t>
      </w:r>
      <w:r w:rsidR="007218AC" w:rsidRPr="003D3F7A">
        <w:rPr>
          <w:rFonts w:cs="Arial"/>
        </w:rPr>
        <w:t>Social Security’s Old Age Insurance program (which is what most people mean when referring to “Social Security”)</w:t>
      </w:r>
      <w:r w:rsidR="00215E84" w:rsidRPr="003D3F7A">
        <w:rPr>
          <w:rFonts w:cs="Arial"/>
        </w:rPr>
        <w:t xml:space="preserve"> on longevity itself, as life expectancy became much less erratic once </w:t>
      </w:r>
      <w:r w:rsidR="00135215" w:rsidRPr="003D3F7A">
        <w:rPr>
          <w:rFonts w:cs="Arial"/>
        </w:rPr>
        <w:t xml:space="preserve">Social Security benefits began to be paid in the 1940s.  </w:t>
      </w:r>
    </w:p>
    <w:p w14:paraId="0EA2583F" w14:textId="77777777" w:rsidR="0002092E" w:rsidRPr="003D3F7A" w:rsidRDefault="0002092E">
      <w:pPr>
        <w:rPr>
          <w:rFonts w:cs="Arial"/>
        </w:rPr>
      </w:pPr>
    </w:p>
    <w:p w14:paraId="4020029D" w14:textId="64DF2EE3" w:rsidR="00957D11" w:rsidRPr="003D3F7A" w:rsidRDefault="00413734">
      <w:pPr>
        <w:rPr>
          <w:rFonts w:cs="Arial"/>
        </w:rPr>
      </w:pPr>
      <w:r w:rsidRPr="003D3F7A">
        <w:rPr>
          <w:rFonts w:cs="Arial"/>
          <w:noProof/>
        </w:rPr>
        <w:drawing>
          <wp:inline distT="0" distB="0" distL="0" distR="0" wp14:anchorId="6116B4F9" wp14:editId="3F34FD63">
            <wp:extent cx="7239786" cy="3720323"/>
            <wp:effectExtent l="0" t="0" r="0" b="0"/>
            <wp:docPr id="135439712"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39712" name="Picture 5" descr="Ch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54835" cy="3728056"/>
                    </a:xfrm>
                    <a:prstGeom prst="rect">
                      <a:avLst/>
                    </a:prstGeom>
                    <a:noFill/>
                  </pic:spPr>
                </pic:pic>
              </a:graphicData>
            </a:graphic>
          </wp:inline>
        </w:drawing>
      </w:r>
    </w:p>
    <w:p w14:paraId="338FAB6A" w14:textId="77777777" w:rsidR="000600F4" w:rsidRPr="003D3F7A" w:rsidRDefault="000600F4" w:rsidP="000600F4">
      <w:pPr>
        <w:rPr>
          <w:rFonts w:cs="Arial"/>
        </w:rPr>
      </w:pPr>
      <w:r w:rsidRPr="003D3F7A">
        <w:rPr>
          <w:rFonts w:cs="Arial"/>
        </w:rPr>
        <w:t xml:space="preserve">Sources:  U.S. National Center for Health Statistics (NCHS) and </w:t>
      </w:r>
      <w:r w:rsidRPr="003D3F7A">
        <w:rPr>
          <w:rFonts w:cs="Arial"/>
          <w:i/>
          <w:iCs/>
        </w:rPr>
        <w:t>Historical Statistics of the United States, Millennial Edition</w:t>
      </w:r>
      <w:r w:rsidRPr="003D3F7A">
        <w:rPr>
          <w:rFonts w:cs="Arial"/>
        </w:rPr>
        <w:t xml:space="preserve"> (2006)</w:t>
      </w:r>
    </w:p>
    <w:p w14:paraId="1CDF3E59" w14:textId="77777777" w:rsidR="000600F4" w:rsidRPr="003D3F7A" w:rsidRDefault="000600F4">
      <w:pPr>
        <w:rPr>
          <w:rFonts w:cs="Arial"/>
        </w:rPr>
      </w:pPr>
    </w:p>
    <w:p w14:paraId="3BE20BE9" w14:textId="2E748382" w:rsidR="000600F4" w:rsidRPr="003D3F7A" w:rsidRDefault="000600F4">
      <w:pPr>
        <w:rPr>
          <w:rFonts w:cs="Arial"/>
        </w:rPr>
      </w:pPr>
      <w:r w:rsidRPr="003D3F7A">
        <w:rPr>
          <w:rFonts w:cs="Arial"/>
        </w:rPr>
        <w:t xml:space="preserve">The deadliest mass death events in U.S. </w:t>
      </w:r>
      <w:r w:rsidR="00CF3895">
        <w:rPr>
          <w:rFonts w:cs="Arial"/>
        </w:rPr>
        <w:t xml:space="preserve">history </w:t>
      </w:r>
      <w:r w:rsidRPr="003D3F7A">
        <w:rPr>
          <w:rFonts w:cs="Arial"/>
        </w:rPr>
        <w:t>are shown below, led by the Civil War and the 1918 pandemic, followed by the coronavirus pandemic</w:t>
      </w:r>
      <w:r w:rsidR="007042FA">
        <w:rPr>
          <w:rFonts w:cs="Arial"/>
        </w:rPr>
        <w:t xml:space="preserve"> – adjusted for population size</w:t>
      </w:r>
      <w:r w:rsidRPr="003D3F7A">
        <w:rPr>
          <w:rFonts w:cs="Arial"/>
        </w:rPr>
        <w:t>.</w:t>
      </w:r>
      <w:r w:rsidR="00135215" w:rsidRPr="003D3F7A">
        <w:rPr>
          <w:rFonts w:cs="Arial"/>
        </w:rPr>
        <w:t xml:space="preserve">  </w:t>
      </w:r>
      <w:r w:rsidR="003D7CF1" w:rsidRPr="003D3F7A">
        <w:rPr>
          <w:rFonts w:cs="Arial"/>
        </w:rPr>
        <w:t>Mass death</w:t>
      </w:r>
      <w:r w:rsidR="007042FA">
        <w:rPr>
          <w:rFonts w:cs="Arial"/>
        </w:rPr>
        <w:t>s</w:t>
      </w:r>
      <w:r w:rsidR="003D7CF1" w:rsidRPr="003D3F7A">
        <w:rPr>
          <w:rFonts w:cs="Arial"/>
        </w:rPr>
        <w:t xml:space="preserve"> can have greatly varying impacts upon different age groups, </w:t>
      </w:r>
      <w:r w:rsidR="00047857" w:rsidRPr="003D3F7A">
        <w:rPr>
          <w:rFonts w:cs="Arial"/>
        </w:rPr>
        <w:t xml:space="preserve">with wars often much more deadly for young men (except for modern </w:t>
      </w:r>
      <w:r w:rsidR="004A003D" w:rsidRPr="003D3F7A">
        <w:rPr>
          <w:rFonts w:cs="Arial"/>
        </w:rPr>
        <w:t>total wars, which can kill huge numbers of civilians)</w:t>
      </w:r>
      <w:r w:rsidR="00296A5F" w:rsidRPr="003D3F7A">
        <w:rPr>
          <w:rFonts w:cs="Arial"/>
        </w:rPr>
        <w:t xml:space="preserve">, and diseases sometimes most deadly for differing age groups.  For example, the coronavirus pandemic </w:t>
      </w:r>
      <w:r w:rsidR="00B813BB" w:rsidRPr="003D3F7A">
        <w:rPr>
          <w:rFonts w:cs="Arial"/>
        </w:rPr>
        <w:t xml:space="preserve">was most dangerous for older individuals, whereas the 1918 flu pandemic tended to strike </w:t>
      </w:r>
      <w:r w:rsidR="00BE2271" w:rsidRPr="003D3F7A">
        <w:rPr>
          <w:rFonts w:cs="Arial"/>
        </w:rPr>
        <w:t>young adults</w:t>
      </w:r>
      <w:r w:rsidR="006B39B9">
        <w:rPr>
          <w:rFonts w:cs="Arial"/>
        </w:rPr>
        <w:t>.</w:t>
      </w:r>
    </w:p>
    <w:p w14:paraId="4DA74065" w14:textId="77777777" w:rsidR="000600F4" w:rsidRPr="003D3F7A" w:rsidRDefault="000600F4">
      <w:pPr>
        <w:rPr>
          <w:rFonts w:cs="Arial"/>
        </w:rPr>
      </w:pPr>
    </w:p>
    <w:p w14:paraId="05741BE1" w14:textId="4A9043C8" w:rsidR="00D41092" w:rsidRPr="003D3F7A" w:rsidRDefault="001F4685">
      <w:pPr>
        <w:rPr>
          <w:rFonts w:cs="Arial"/>
        </w:rPr>
      </w:pPr>
      <w:r w:rsidRPr="003D3F7A">
        <w:rPr>
          <w:rFonts w:cs="Arial"/>
          <w:noProof/>
        </w:rPr>
        <w:lastRenderedPageBreak/>
        <w:drawing>
          <wp:inline distT="0" distB="0" distL="0" distR="0" wp14:anchorId="6BF8BEB4" wp14:editId="49C5F68C">
            <wp:extent cx="7032625" cy="3544570"/>
            <wp:effectExtent l="0" t="0" r="0" b="0"/>
            <wp:docPr id="14220245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32625" cy="3544570"/>
                    </a:xfrm>
                    <a:prstGeom prst="rect">
                      <a:avLst/>
                    </a:prstGeom>
                    <a:noFill/>
                    <a:ln>
                      <a:noFill/>
                    </a:ln>
                  </pic:spPr>
                </pic:pic>
              </a:graphicData>
            </a:graphic>
          </wp:inline>
        </w:drawing>
      </w:r>
    </w:p>
    <w:p w14:paraId="76F54FD7" w14:textId="61157C1F" w:rsidR="00D41092" w:rsidRPr="003D3F7A" w:rsidRDefault="00786B80">
      <w:pPr>
        <w:rPr>
          <w:rFonts w:cs="Arial"/>
        </w:rPr>
      </w:pPr>
      <w:r w:rsidRPr="003D3F7A">
        <w:rPr>
          <w:rFonts w:cs="Arial"/>
        </w:rPr>
        <w:t xml:space="preserve">Various sources, including </w:t>
      </w:r>
      <w:r w:rsidR="003F6AF8" w:rsidRPr="003D3F7A">
        <w:rPr>
          <w:rFonts w:cs="Arial"/>
        </w:rPr>
        <w:t>U.S. Census Bureau, U.S. Center for Disease Control and Prevention (CDC), and academic studies</w:t>
      </w:r>
    </w:p>
    <w:p w14:paraId="085D6B53" w14:textId="77777777" w:rsidR="00786B80" w:rsidRPr="003D3F7A" w:rsidRDefault="00786B80">
      <w:pPr>
        <w:rPr>
          <w:rFonts w:cs="Arial"/>
        </w:rPr>
      </w:pPr>
    </w:p>
    <w:p w14:paraId="6C042215" w14:textId="5DEAE1E2" w:rsidR="00786B80" w:rsidRPr="003D3F7A" w:rsidRDefault="00A952E8">
      <w:pPr>
        <w:rPr>
          <w:rFonts w:cs="Arial"/>
        </w:rPr>
      </w:pPr>
      <w:r w:rsidRPr="003D3F7A">
        <w:rPr>
          <w:rFonts w:cs="Arial"/>
        </w:rPr>
        <w:t>Throughout most of history women have lived</w:t>
      </w:r>
      <w:r w:rsidR="00490727" w:rsidRPr="003D3F7A">
        <w:rPr>
          <w:rFonts w:cs="Arial"/>
        </w:rPr>
        <w:t xml:space="preserve"> shorter lives than men</w:t>
      </w:r>
      <w:r w:rsidR="0015096D" w:rsidRPr="003D3F7A">
        <w:rPr>
          <w:rFonts w:cs="Arial"/>
        </w:rPr>
        <w:t>, and only began to live longer in approximately the first half of the 20</w:t>
      </w:r>
      <w:r w:rsidR="00004AA2" w:rsidRPr="003D3F7A">
        <w:rPr>
          <w:rFonts w:cs="Arial"/>
        </w:rPr>
        <w:t>th</w:t>
      </w:r>
      <w:r w:rsidR="0015096D" w:rsidRPr="003D3F7A">
        <w:rPr>
          <w:rFonts w:cs="Arial"/>
        </w:rPr>
        <w:t xml:space="preserve"> century.  Their advantage </w:t>
      </w:r>
      <w:r w:rsidR="00F40051" w:rsidRPr="003D3F7A">
        <w:rPr>
          <w:rFonts w:cs="Arial"/>
        </w:rPr>
        <w:t>improved significantly in the post-World War II period</w:t>
      </w:r>
      <w:r w:rsidR="00412D25" w:rsidRPr="003D3F7A">
        <w:rPr>
          <w:rFonts w:cs="Arial"/>
        </w:rPr>
        <w:t xml:space="preserve">, as shown in the chart below.  </w:t>
      </w:r>
      <w:r w:rsidR="00004AA2" w:rsidRPr="0002092E">
        <w:rPr>
          <w:rFonts w:cs="Arial"/>
          <w:b/>
          <w:bCs/>
          <w:color w:val="7030A0"/>
        </w:rPr>
        <w:t xml:space="preserve">Once women became more likely to </w:t>
      </w:r>
      <w:r w:rsidR="00E2629E" w:rsidRPr="0002092E">
        <w:rPr>
          <w:rFonts w:cs="Arial"/>
          <w:b/>
          <w:bCs/>
          <w:color w:val="7030A0"/>
        </w:rPr>
        <w:t xml:space="preserve">enter the paid workforce, this greater longevity </w:t>
      </w:r>
      <w:r w:rsidR="00C92A18" w:rsidRPr="0002092E">
        <w:rPr>
          <w:rFonts w:cs="Arial"/>
          <w:b/>
          <w:bCs/>
          <w:color w:val="7030A0"/>
        </w:rPr>
        <w:t>attained greater significance in influencing employment rates among older individuals.</w:t>
      </w:r>
      <w:r w:rsidR="00C92A18" w:rsidRPr="003D3F7A">
        <w:rPr>
          <w:rFonts w:cs="Arial"/>
        </w:rPr>
        <w:t xml:space="preserve">  </w:t>
      </w:r>
    </w:p>
    <w:p w14:paraId="585A5CDD" w14:textId="3ACD9BD9" w:rsidR="00957D11" w:rsidRPr="003D3F7A" w:rsidRDefault="00957D11">
      <w:pPr>
        <w:rPr>
          <w:rFonts w:cs="Arial"/>
        </w:rPr>
      </w:pPr>
    </w:p>
    <w:p w14:paraId="596C1912" w14:textId="3505CAC0" w:rsidR="00957D11" w:rsidRPr="003D3F7A" w:rsidRDefault="00416169">
      <w:pPr>
        <w:rPr>
          <w:rFonts w:cs="Arial"/>
        </w:rPr>
      </w:pPr>
      <w:r w:rsidRPr="003D3F7A">
        <w:rPr>
          <w:rFonts w:cs="Arial"/>
          <w:noProof/>
        </w:rPr>
        <w:drawing>
          <wp:inline distT="0" distB="0" distL="0" distR="0" wp14:anchorId="27A89B47" wp14:editId="2547F96E">
            <wp:extent cx="7261604" cy="3364126"/>
            <wp:effectExtent l="0" t="0" r="0" b="8255"/>
            <wp:docPr id="7381996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89147" cy="3376886"/>
                    </a:xfrm>
                    <a:prstGeom prst="rect">
                      <a:avLst/>
                    </a:prstGeom>
                    <a:noFill/>
                  </pic:spPr>
                </pic:pic>
              </a:graphicData>
            </a:graphic>
          </wp:inline>
        </w:drawing>
      </w:r>
    </w:p>
    <w:p w14:paraId="2A0B13E4" w14:textId="77777777" w:rsidR="00416169" w:rsidRPr="003D3F7A" w:rsidRDefault="00416169" w:rsidP="00416169">
      <w:pPr>
        <w:rPr>
          <w:rFonts w:cs="Arial"/>
        </w:rPr>
      </w:pPr>
      <w:r w:rsidRPr="003D3F7A">
        <w:rPr>
          <w:rFonts w:cs="Arial"/>
        </w:rPr>
        <w:t xml:space="preserve">Sources:  U.S. National Center for Health Statistics (NCHS) and </w:t>
      </w:r>
      <w:r w:rsidRPr="003D3F7A">
        <w:rPr>
          <w:rFonts w:cs="Arial"/>
          <w:i/>
          <w:iCs/>
        </w:rPr>
        <w:t>Historical Statistics of the United States, Millennial Edition</w:t>
      </w:r>
      <w:r w:rsidRPr="003D3F7A">
        <w:rPr>
          <w:rFonts w:cs="Arial"/>
        </w:rPr>
        <w:t xml:space="preserve"> (2006)</w:t>
      </w:r>
    </w:p>
    <w:p w14:paraId="53859B31" w14:textId="77777777" w:rsidR="00E6397F" w:rsidRPr="003D3F7A" w:rsidRDefault="00E6397F" w:rsidP="00416169">
      <w:pPr>
        <w:rPr>
          <w:rFonts w:cs="Arial"/>
        </w:rPr>
      </w:pPr>
    </w:p>
    <w:p w14:paraId="510AB7BA" w14:textId="10000722" w:rsidR="00E6397F" w:rsidRPr="00A43A9D" w:rsidRDefault="0072506F" w:rsidP="00416169">
      <w:pPr>
        <w:rPr>
          <w:rFonts w:cs="Arial"/>
          <w:b/>
          <w:bCs/>
        </w:rPr>
      </w:pPr>
      <w:r w:rsidRPr="00A43A9D">
        <w:rPr>
          <w:rFonts w:cs="Arial"/>
          <w:b/>
          <w:bCs/>
          <w:color w:val="7030A0"/>
        </w:rPr>
        <w:lastRenderedPageBreak/>
        <w:t xml:space="preserve">In the </w:t>
      </w:r>
      <w:r w:rsidR="000940F3" w:rsidRPr="00A43A9D">
        <w:rPr>
          <w:rFonts w:cs="Arial"/>
          <w:b/>
          <w:bCs/>
          <w:color w:val="7030A0"/>
        </w:rPr>
        <w:t xml:space="preserve">U.S., life expectancy plateaued for a decade prior to the pandemic, a trend that is characteristic even of the most </w:t>
      </w:r>
      <w:r w:rsidR="00523824" w:rsidRPr="00A43A9D">
        <w:rPr>
          <w:rFonts w:cs="Arial"/>
          <w:b/>
          <w:bCs/>
          <w:color w:val="7030A0"/>
        </w:rPr>
        <w:t xml:space="preserve">advantaged group – non-Hispanic Whites.  </w:t>
      </w:r>
      <w:r w:rsidR="00A04977" w:rsidRPr="00A43A9D">
        <w:rPr>
          <w:rFonts w:cs="Arial"/>
          <w:b/>
          <w:bCs/>
          <w:color w:val="7030A0"/>
        </w:rPr>
        <w:t xml:space="preserve">The pandemic then caused life </w:t>
      </w:r>
      <w:r w:rsidR="0081045E">
        <w:rPr>
          <w:rFonts w:cs="Arial"/>
          <w:b/>
          <w:bCs/>
          <w:color w:val="7030A0"/>
        </w:rPr>
        <w:t xml:space="preserve">expectancy </w:t>
      </w:r>
      <w:r w:rsidR="00A04977" w:rsidRPr="00A43A9D">
        <w:rPr>
          <w:rFonts w:cs="Arial"/>
          <w:b/>
          <w:bCs/>
          <w:color w:val="7030A0"/>
        </w:rPr>
        <w:t xml:space="preserve">to drop to the levels </w:t>
      </w:r>
      <w:r w:rsidR="00426DB0" w:rsidRPr="00A43A9D">
        <w:rPr>
          <w:rFonts w:cs="Arial"/>
          <w:b/>
          <w:bCs/>
          <w:color w:val="7030A0"/>
        </w:rPr>
        <w:t xml:space="preserve">of about two decades previously.  </w:t>
      </w:r>
      <w:r w:rsidR="00A81CEB" w:rsidRPr="00A43A9D">
        <w:rPr>
          <w:rFonts w:cs="Arial"/>
          <w:b/>
          <w:bCs/>
          <w:color w:val="7030A0"/>
        </w:rPr>
        <w:t xml:space="preserve">Longevity levels began to recover in 2022, but it seems unlikely </w:t>
      </w:r>
      <w:r w:rsidR="00F7057B" w:rsidRPr="00A43A9D">
        <w:rPr>
          <w:rFonts w:cs="Arial"/>
          <w:b/>
          <w:bCs/>
          <w:color w:val="7030A0"/>
        </w:rPr>
        <w:t>that they will ascend in the manner that occurred for most of the 19</w:t>
      </w:r>
      <w:r w:rsidR="00F7057B" w:rsidRPr="00A43A9D">
        <w:rPr>
          <w:rFonts w:cs="Arial"/>
          <w:b/>
          <w:bCs/>
          <w:color w:val="7030A0"/>
          <w:vertAlign w:val="superscript"/>
        </w:rPr>
        <w:t>th</w:t>
      </w:r>
      <w:r w:rsidR="00F7057B" w:rsidRPr="00A43A9D">
        <w:rPr>
          <w:rFonts w:cs="Arial"/>
          <w:b/>
          <w:bCs/>
          <w:color w:val="7030A0"/>
        </w:rPr>
        <w:t xml:space="preserve"> and 20</w:t>
      </w:r>
      <w:r w:rsidR="00F7057B" w:rsidRPr="00A43A9D">
        <w:rPr>
          <w:rFonts w:cs="Arial"/>
          <w:b/>
          <w:bCs/>
          <w:color w:val="7030A0"/>
          <w:vertAlign w:val="superscript"/>
        </w:rPr>
        <w:t>th</w:t>
      </w:r>
      <w:r w:rsidR="00F7057B" w:rsidRPr="00A43A9D">
        <w:rPr>
          <w:rFonts w:cs="Arial"/>
          <w:b/>
          <w:bCs/>
          <w:color w:val="7030A0"/>
        </w:rPr>
        <w:t xml:space="preserve"> centuries.  </w:t>
      </w:r>
      <w:r w:rsidR="00BB1AB9" w:rsidRPr="00A43A9D">
        <w:rPr>
          <w:rFonts w:cs="Arial"/>
          <w:b/>
          <w:bCs/>
          <w:color w:val="7030A0"/>
        </w:rPr>
        <w:t>Therefore, this factor alone will limit the growth of the older workforce.</w:t>
      </w:r>
      <w:r w:rsidR="00BB1AB9" w:rsidRPr="00A43A9D">
        <w:rPr>
          <w:rFonts w:cs="Arial"/>
          <w:b/>
          <w:bCs/>
        </w:rPr>
        <w:t xml:space="preserve">  </w:t>
      </w:r>
    </w:p>
    <w:p w14:paraId="0606E7B3" w14:textId="77777777" w:rsidR="00416169" w:rsidRPr="003D3F7A" w:rsidRDefault="00416169" w:rsidP="00416169">
      <w:pPr>
        <w:rPr>
          <w:rFonts w:cs="Arial"/>
        </w:rPr>
      </w:pPr>
    </w:p>
    <w:p w14:paraId="250285DE" w14:textId="470961AB" w:rsidR="00621682" w:rsidRPr="003D3F7A" w:rsidRDefault="00374881" w:rsidP="00416169">
      <w:pPr>
        <w:rPr>
          <w:rFonts w:cs="Arial"/>
        </w:rPr>
      </w:pPr>
      <w:r w:rsidRPr="003D3F7A">
        <w:rPr>
          <w:rFonts w:cs="Arial"/>
          <w:b/>
          <w:bCs/>
        </w:rPr>
        <w:t>The share of the workforce comprised of older workers.</w:t>
      </w:r>
      <w:r w:rsidRPr="003D3F7A">
        <w:rPr>
          <w:rFonts w:cs="Arial"/>
        </w:rPr>
        <w:t xml:space="preserve">  </w:t>
      </w:r>
      <w:r w:rsidR="0091361C" w:rsidRPr="003D3F7A">
        <w:rPr>
          <w:rFonts w:cs="Arial"/>
        </w:rPr>
        <w:t xml:space="preserve">Most observers focus on employment rates among older individuals, but </w:t>
      </w:r>
      <w:r w:rsidR="0091361C" w:rsidRPr="00B2004B">
        <w:rPr>
          <w:rFonts w:cs="Arial"/>
          <w:b/>
          <w:bCs/>
          <w:color w:val="7030A0"/>
        </w:rPr>
        <w:t xml:space="preserve">the sheer size of the </w:t>
      </w:r>
      <w:r w:rsidR="00447B9B" w:rsidRPr="00B2004B">
        <w:rPr>
          <w:rFonts w:cs="Arial"/>
          <w:b/>
          <w:bCs/>
          <w:color w:val="7030A0"/>
        </w:rPr>
        <w:t xml:space="preserve">older workforce has important implications </w:t>
      </w:r>
      <w:r w:rsidR="000A3F3D" w:rsidRPr="00B2004B">
        <w:rPr>
          <w:rFonts w:cs="Arial"/>
          <w:b/>
          <w:bCs/>
          <w:color w:val="7030A0"/>
        </w:rPr>
        <w:t>alone</w:t>
      </w:r>
      <w:r w:rsidR="00447B9B" w:rsidRPr="003D3F7A">
        <w:rPr>
          <w:rFonts w:cs="Arial"/>
        </w:rPr>
        <w:t xml:space="preserve">.  For example, </w:t>
      </w:r>
      <w:r w:rsidR="002135ED" w:rsidRPr="003D3F7A">
        <w:rPr>
          <w:rFonts w:cs="Arial"/>
        </w:rPr>
        <w:t xml:space="preserve">if older workers constituted a relatively tiny share of the total </w:t>
      </w:r>
      <w:r w:rsidR="006A27DE" w:rsidRPr="003D3F7A">
        <w:rPr>
          <w:rFonts w:cs="Arial"/>
        </w:rPr>
        <w:t xml:space="preserve">workforce, this would allow employers greater scope to ignore and even discriminate against </w:t>
      </w:r>
      <w:r w:rsidR="009F53CD" w:rsidRPr="003D3F7A">
        <w:rPr>
          <w:rFonts w:cs="Arial"/>
        </w:rPr>
        <w:t xml:space="preserve">them.  However, </w:t>
      </w:r>
      <w:r w:rsidR="009F53CD" w:rsidRPr="00B2004B">
        <w:rPr>
          <w:rFonts w:cs="Arial"/>
          <w:b/>
          <w:bCs/>
          <w:color w:val="7030A0"/>
        </w:rPr>
        <w:t xml:space="preserve">as the share of older workers rises, employers have much less discretion to </w:t>
      </w:r>
      <w:r w:rsidR="001811AD" w:rsidRPr="00B2004B">
        <w:rPr>
          <w:rFonts w:cs="Arial"/>
          <w:b/>
          <w:bCs/>
          <w:color w:val="7030A0"/>
        </w:rPr>
        <w:t>avoid hiring them, or to lay them off</w:t>
      </w:r>
      <w:r w:rsidR="000A3F3D" w:rsidRPr="003D3F7A">
        <w:rPr>
          <w:rFonts w:cs="Arial"/>
        </w:rPr>
        <w:t xml:space="preserve">.  The chart below </w:t>
      </w:r>
      <w:r w:rsidR="004A1041" w:rsidRPr="003D3F7A">
        <w:rPr>
          <w:rFonts w:cs="Arial"/>
        </w:rPr>
        <w:t>focuses on the post-World War II period, when longevity began to significantly</w:t>
      </w:r>
      <w:r w:rsidR="00A602E2" w:rsidRPr="003D3F7A">
        <w:rPr>
          <w:rFonts w:cs="Arial"/>
        </w:rPr>
        <w:t xml:space="preserve"> increase the size of the elderly population. </w:t>
      </w:r>
    </w:p>
    <w:p w14:paraId="05104A14" w14:textId="77777777" w:rsidR="00494464" w:rsidRPr="003D3F7A" w:rsidRDefault="00494464" w:rsidP="00416169">
      <w:pPr>
        <w:rPr>
          <w:rFonts w:cs="Arial"/>
        </w:rPr>
      </w:pPr>
    </w:p>
    <w:p w14:paraId="7C2ABDE1" w14:textId="46F93B27" w:rsidR="00494464" w:rsidRDefault="00494464" w:rsidP="00416169">
      <w:pPr>
        <w:rPr>
          <w:rFonts w:cs="Arial"/>
        </w:rPr>
      </w:pPr>
      <w:r w:rsidRPr="003D3F7A">
        <w:rPr>
          <w:rFonts w:cs="Arial"/>
        </w:rPr>
        <w:t xml:space="preserve">The share of the workforce comprised </w:t>
      </w:r>
      <w:r w:rsidR="009C088C">
        <w:rPr>
          <w:rFonts w:cs="Arial"/>
        </w:rPr>
        <w:t>of</w:t>
      </w:r>
      <w:r w:rsidRPr="003D3F7A">
        <w:rPr>
          <w:rFonts w:cs="Arial"/>
        </w:rPr>
        <w:t xml:space="preserve"> older individuals depends upon </w:t>
      </w:r>
      <w:r w:rsidR="00CD3F7A" w:rsidRPr="003D3F7A">
        <w:rPr>
          <w:rFonts w:cs="Arial"/>
        </w:rPr>
        <w:t xml:space="preserve">both the age distribution of the overall population, and the </w:t>
      </w:r>
      <w:r w:rsidR="004E0495" w:rsidRPr="003D3F7A">
        <w:rPr>
          <w:rFonts w:cs="Arial"/>
        </w:rPr>
        <w:t xml:space="preserve">propensity of older individuals to work.  </w:t>
      </w:r>
      <w:r w:rsidR="002F0EFB" w:rsidRPr="003D3F7A">
        <w:rPr>
          <w:rFonts w:cs="Arial"/>
        </w:rPr>
        <w:t>The Great Depression and World War II led to significantly lower birth rates, which resulted in a</w:t>
      </w:r>
      <w:r w:rsidR="002A5D30" w:rsidRPr="003D3F7A">
        <w:rPr>
          <w:rFonts w:cs="Arial"/>
        </w:rPr>
        <w:t xml:space="preserve"> large </w:t>
      </w:r>
      <w:r w:rsidR="00CE33D6" w:rsidRPr="003D3F7A">
        <w:rPr>
          <w:rFonts w:cs="Arial"/>
        </w:rPr>
        <w:t>U.S. birth spurt following the war (although this didn’t occur in many other countries)</w:t>
      </w:r>
      <w:r w:rsidR="00D71516" w:rsidRPr="003D3F7A">
        <w:rPr>
          <w:rFonts w:cs="Arial"/>
        </w:rPr>
        <w:t xml:space="preserve">, popularly referred to as the baby boom.  This </w:t>
      </w:r>
      <w:r w:rsidR="002A5D30" w:rsidRPr="003D3F7A">
        <w:rPr>
          <w:rFonts w:cs="Arial"/>
        </w:rPr>
        <w:t xml:space="preserve">huge population has moved through the workforce in a wave-like manner, first </w:t>
      </w:r>
      <w:r w:rsidR="00C0198C" w:rsidRPr="003D3F7A">
        <w:rPr>
          <w:rFonts w:cs="Arial"/>
        </w:rPr>
        <w:t xml:space="preserve">significantly lowering the age of the workforce, </w:t>
      </w:r>
      <w:r w:rsidR="00216D95" w:rsidRPr="003D3F7A">
        <w:rPr>
          <w:rFonts w:cs="Arial"/>
        </w:rPr>
        <w:t xml:space="preserve">then increasingly aging the workforce beginning in the </w:t>
      </w:r>
      <w:r w:rsidR="003F3B19" w:rsidRPr="003D3F7A">
        <w:rPr>
          <w:rFonts w:cs="Arial"/>
        </w:rPr>
        <w:t>mid-1990s, when the younge</w:t>
      </w:r>
      <w:r w:rsidR="00CD1D68">
        <w:rPr>
          <w:rFonts w:cs="Arial"/>
        </w:rPr>
        <w:t>st</w:t>
      </w:r>
      <w:r w:rsidR="003F3B19" w:rsidRPr="003D3F7A">
        <w:rPr>
          <w:rFonts w:cs="Arial"/>
        </w:rPr>
        <w:t xml:space="preserve"> of the baby boom generation entered their fifties.  </w:t>
      </w:r>
      <w:r w:rsidR="00F32AB5" w:rsidRPr="003D3F7A">
        <w:rPr>
          <w:rFonts w:cs="Arial"/>
        </w:rPr>
        <w:t xml:space="preserve">The </w:t>
      </w:r>
      <w:r w:rsidR="00BE3D1D" w:rsidRPr="003D3F7A">
        <w:rPr>
          <w:rFonts w:cs="Arial"/>
        </w:rPr>
        <w:t xml:space="preserve">pandemic temporarily interrupted this expansion, but as </w:t>
      </w:r>
      <w:r w:rsidR="00732211" w:rsidRPr="003D3F7A">
        <w:rPr>
          <w:rFonts w:cs="Arial"/>
        </w:rPr>
        <w:t xml:space="preserve">discussed </w:t>
      </w:r>
      <w:r w:rsidR="00BE3D1D" w:rsidRPr="003D3F7A">
        <w:rPr>
          <w:rFonts w:cs="Arial"/>
        </w:rPr>
        <w:t>above</w:t>
      </w:r>
      <w:r w:rsidR="00732211" w:rsidRPr="003D3F7A">
        <w:rPr>
          <w:rFonts w:cs="Arial"/>
        </w:rPr>
        <w:t>,</w:t>
      </w:r>
      <w:r w:rsidR="00BE3D1D" w:rsidRPr="003D3F7A">
        <w:rPr>
          <w:rFonts w:cs="Arial"/>
        </w:rPr>
        <w:t xml:space="preserve"> its effect is likely to be </w:t>
      </w:r>
      <w:r w:rsidR="00091273" w:rsidRPr="003D3F7A">
        <w:rPr>
          <w:rFonts w:cs="Arial"/>
        </w:rPr>
        <w:t xml:space="preserve">temporary if no further resurgence of coronavirus occurs. </w:t>
      </w:r>
    </w:p>
    <w:p w14:paraId="520939A8" w14:textId="77777777" w:rsidR="0001030D" w:rsidRDefault="0001030D" w:rsidP="00416169">
      <w:pPr>
        <w:rPr>
          <w:rFonts w:cs="Arial"/>
        </w:rPr>
      </w:pPr>
    </w:p>
    <w:p w14:paraId="5A85FF15" w14:textId="7335D44B" w:rsidR="0001030D" w:rsidRPr="00847E9D" w:rsidRDefault="00847E9D" w:rsidP="00416169">
      <w:pPr>
        <w:rPr>
          <w:rFonts w:cs="Arial"/>
          <w:b/>
          <w:bCs/>
          <w:color w:val="7030A0"/>
        </w:rPr>
      </w:pPr>
      <w:r w:rsidRPr="00847E9D">
        <w:rPr>
          <w:rFonts w:cs="Arial"/>
          <w:b/>
          <w:bCs/>
          <w:color w:val="7030A0"/>
        </w:rPr>
        <w:t xml:space="preserve">The impact of the baby boom generation nearly </w:t>
      </w:r>
      <w:r w:rsidR="0001030D" w:rsidRPr="00847E9D">
        <w:rPr>
          <w:rFonts w:cs="Arial"/>
          <w:b/>
          <w:bCs/>
          <w:color w:val="7030A0"/>
        </w:rPr>
        <w:t xml:space="preserve">doubled the proportion of total employment constituted by those 55 and older, from 12 percent in the early 1990s to nearly 24 percent since 2019.  This large share has made the U.S. economy much more dependent on older workers, and made it more difficult for employers to avoid hiring them, or to discriminate against them, although such discrimination remains a serious problem for older individuals.  </w:t>
      </w:r>
    </w:p>
    <w:p w14:paraId="54C0D937" w14:textId="77777777" w:rsidR="00091273" w:rsidRPr="003D3F7A" w:rsidRDefault="00091273" w:rsidP="00416169">
      <w:pPr>
        <w:rPr>
          <w:rFonts w:cs="Arial"/>
        </w:rPr>
      </w:pPr>
    </w:p>
    <w:p w14:paraId="16D9EE44" w14:textId="112DE85E" w:rsidR="002032DE" w:rsidRPr="003D3F7A" w:rsidRDefault="002032DE">
      <w:pPr>
        <w:rPr>
          <w:rFonts w:cs="Arial"/>
        </w:rPr>
      </w:pPr>
      <w:r w:rsidRPr="003D3F7A">
        <w:rPr>
          <w:rFonts w:cs="Arial"/>
          <w:noProof/>
        </w:rPr>
        <w:drawing>
          <wp:inline distT="0" distB="0" distL="0" distR="0" wp14:anchorId="43DFBC69" wp14:editId="2D36CC67">
            <wp:extent cx="5919749" cy="4223208"/>
            <wp:effectExtent l="0" t="0" r="5080" b="6350"/>
            <wp:docPr id="18747849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9603" cy="4315847"/>
                    </a:xfrm>
                    <a:prstGeom prst="rect">
                      <a:avLst/>
                    </a:prstGeom>
                    <a:noFill/>
                  </pic:spPr>
                </pic:pic>
              </a:graphicData>
            </a:graphic>
          </wp:inline>
        </w:drawing>
      </w:r>
    </w:p>
    <w:p w14:paraId="528F87B1" w14:textId="6621EEDB" w:rsidR="00621682" w:rsidRPr="003D3F7A" w:rsidRDefault="00621682">
      <w:pPr>
        <w:rPr>
          <w:rFonts w:cs="Arial"/>
        </w:rPr>
      </w:pPr>
      <w:r w:rsidRPr="003D3F7A">
        <w:rPr>
          <w:rFonts w:cs="Arial"/>
        </w:rPr>
        <w:t xml:space="preserve">Source:  U.S. BLS, </w:t>
      </w:r>
      <w:r w:rsidR="00494464" w:rsidRPr="003D3F7A">
        <w:rPr>
          <w:rFonts w:cs="Arial"/>
        </w:rPr>
        <w:t xml:space="preserve">annual averages of the monthly </w:t>
      </w:r>
      <w:r w:rsidR="00494464" w:rsidRPr="003D3F7A">
        <w:rPr>
          <w:rFonts w:cs="Arial"/>
          <w:i/>
          <w:iCs/>
        </w:rPr>
        <w:t>Current Population Survey</w:t>
      </w:r>
      <w:r w:rsidR="00494464" w:rsidRPr="003D3F7A">
        <w:rPr>
          <w:rFonts w:cs="Arial"/>
        </w:rPr>
        <w:t xml:space="preserve"> (CPS)</w:t>
      </w:r>
    </w:p>
    <w:p w14:paraId="0201581D" w14:textId="33CCB2B9" w:rsidR="009B7F6B" w:rsidRPr="003D3F7A" w:rsidRDefault="009B7F6B" w:rsidP="009B7F6B">
      <w:pPr>
        <w:rPr>
          <w:rFonts w:cs="Arial"/>
        </w:rPr>
      </w:pPr>
      <w:r w:rsidRPr="003D3F7A">
        <w:rPr>
          <w:rFonts w:cs="Arial"/>
        </w:rPr>
        <w:lastRenderedPageBreak/>
        <w:t xml:space="preserve">A good example of the changes associated with the aging of the workforce is the evolving changes in hiring patterns in the very large retail trade industry.  In the post-World War II period, retail trade employers at first moved toward reliance upon part-time, disproportionately teenage workers.  However, over time employers became increasingly prone to hiring older individuals for such jobs, an occurrence that had formerly been a rarity.  When many older individuals withdrew from the workforce during the pandemic, this again allowed younger workers greater opportunity to work in retail trade jobs, which was an important reason why they had one of the </w:t>
      </w:r>
      <w:r w:rsidR="001F0A77">
        <w:rPr>
          <w:rFonts w:cs="Arial"/>
        </w:rPr>
        <w:t xml:space="preserve">best </w:t>
      </w:r>
      <w:r w:rsidRPr="003D3F7A">
        <w:rPr>
          <w:rFonts w:cs="Arial"/>
        </w:rPr>
        <w:t xml:space="preserve">labor market experiences during the pandemic.  </w:t>
      </w:r>
      <w:r w:rsidR="007551BE" w:rsidRPr="003D3F7A">
        <w:rPr>
          <w:rFonts w:cs="Arial"/>
        </w:rPr>
        <w:t xml:space="preserve"> </w:t>
      </w:r>
    </w:p>
    <w:p w14:paraId="3CFC1BE4" w14:textId="77777777" w:rsidR="007551BE" w:rsidRPr="003D3F7A" w:rsidRDefault="007551BE" w:rsidP="009B7F6B">
      <w:pPr>
        <w:rPr>
          <w:rFonts w:cs="Arial"/>
        </w:rPr>
      </w:pPr>
    </w:p>
    <w:p w14:paraId="1C965A17" w14:textId="6074F10B" w:rsidR="007551BE" w:rsidRPr="003D3F7A" w:rsidRDefault="007551BE" w:rsidP="009B7F6B">
      <w:pPr>
        <w:rPr>
          <w:rFonts w:cs="Arial"/>
        </w:rPr>
      </w:pPr>
      <w:r w:rsidRPr="003D3F7A">
        <w:rPr>
          <w:rFonts w:cs="Arial"/>
        </w:rPr>
        <w:t xml:space="preserve">The baby boom generation </w:t>
      </w:r>
      <w:r w:rsidR="005851ED" w:rsidRPr="003D3F7A">
        <w:rPr>
          <w:rFonts w:cs="Arial"/>
        </w:rPr>
        <w:t xml:space="preserve">will of course become a diminishing </w:t>
      </w:r>
      <w:r w:rsidR="00ED4534" w:rsidRPr="003D3F7A">
        <w:rPr>
          <w:rFonts w:cs="Arial"/>
        </w:rPr>
        <w:t xml:space="preserve">and then disappearing </w:t>
      </w:r>
      <w:r w:rsidR="005851ED" w:rsidRPr="003D3F7A">
        <w:rPr>
          <w:rFonts w:cs="Arial"/>
        </w:rPr>
        <w:t xml:space="preserve">factor in the </w:t>
      </w:r>
      <w:r w:rsidR="00ED4534" w:rsidRPr="003D3F7A">
        <w:rPr>
          <w:rFonts w:cs="Arial"/>
        </w:rPr>
        <w:t xml:space="preserve">workforce, and even the youngest of this generation are now older workers.  </w:t>
      </w:r>
      <w:r w:rsidR="006316E7" w:rsidRPr="003D3F7A">
        <w:rPr>
          <w:rFonts w:cs="Arial"/>
        </w:rPr>
        <w:t xml:space="preserve">This will have the effect of reducing the proportion of older individuals in the </w:t>
      </w:r>
      <w:r w:rsidR="00875EF7" w:rsidRPr="003D3F7A">
        <w:rPr>
          <w:rFonts w:cs="Arial"/>
        </w:rPr>
        <w:t xml:space="preserve">workforce.  Moreover, </w:t>
      </w:r>
      <w:r w:rsidR="00875EF7" w:rsidRPr="00186255">
        <w:rPr>
          <w:rFonts w:cs="Arial"/>
          <w:b/>
          <w:bCs/>
          <w:color w:val="7030A0"/>
        </w:rPr>
        <w:t xml:space="preserve">even if employment rates continue to rise among </w:t>
      </w:r>
      <w:r w:rsidR="00CC36B8" w:rsidRPr="00186255">
        <w:rPr>
          <w:rFonts w:cs="Arial"/>
          <w:b/>
          <w:bCs/>
          <w:color w:val="7030A0"/>
        </w:rPr>
        <w:t xml:space="preserve">older individuals, as long as Old Age Insurance persists, </w:t>
      </w:r>
      <w:r w:rsidR="001C15F4" w:rsidRPr="00186255">
        <w:rPr>
          <w:rFonts w:cs="Arial"/>
          <w:b/>
          <w:bCs/>
          <w:color w:val="7030A0"/>
        </w:rPr>
        <w:t>they will continue to have much lower employer rates than prime-age individuals</w:t>
      </w:r>
      <w:r w:rsidR="001C15F4" w:rsidRPr="003D3F7A">
        <w:rPr>
          <w:rFonts w:cs="Arial"/>
        </w:rPr>
        <w:t xml:space="preserve">.  </w:t>
      </w:r>
    </w:p>
    <w:p w14:paraId="66A341DC" w14:textId="77777777" w:rsidR="00870686" w:rsidRPr="003D3F7A" w:rsidRDefault="00870686" w:rsidP="009B7F6B">
      <w:pPr>
        <w:rPr>
          <w:rFonts w:cs="Arial"/>
        </w:rPr>
      </w:pPr>
    </w:p>
    <w:p w14:paraId="671F1C8F" w14:textId="3CF8808A" w:rsidR="00870686" w:rsidRPr="003D3F7A" w:rsidRDefault="005E1F24" w:rsidP="009B7F6B">
      <w:pPr>
        <w:rPr>
          <w:rFonts w:cs="Arial"/>
        </w:rPr>
      </w:pPr>
      <w:r w:rsidRPr="003D3F7A">
        <w:rPr>
          <w:rFonts w:cs="Arial"/>
          <w:b/>
          <w:bCs/>
        </w:rPr>
        <w:t>Health and disability among older individuals.</w:t>
      </w:r>
      <w:r w:rsidRPr="003D3F7A">
        <w:rPr>
          <w:rFonts w:cs="Arial"/>
        </w:rPr>
        <w:t xml:space="preserve">  </w:t>
      </w:r>
      <w:r w:rsidR="008946DF" w:rsidRPr="003D3F7A">
        <w:rPr>
          <w:rFonts w:cs="Arial"/>
        </w:rPr>
        <w:t xml:space="preserve">Another factor limiting work is the fact that health and disability problems </w:t>
      </w:r>
      <w:r w:rsidR="00FC28A2" w:rsidRPr="003D3F7A">
        <w:rPr>
          <w:rFonts w:cs="Arial"/>
        </w:rPr>
        <w:t xml:space="preserve">increase with age, a pattern that begins as early as </w:t>
      </w:r>
      <w:r w:rsidR="00355282" w:rsidRPr="003D3F7A">
        <w:rPr>
          <w:rFonts w:cs="Arial"/>
        </w:rPr>
        <w:t>individuals’</w:t>
      </w:r>
      <w:r w:rsidR="00FC28A2" w:rsidRPr="003D3F7A">
        <w:rPr>
          <w:rFonts w:cs="Arial"/>
        </w:rPr>
        <w:t xml:space="preserve"> mid-thirties.  </w:t>
      </w:r>
      <w:r w:rsidR="00355282" w:rsidRPr="003D3F7A">
        <w:rPr>
          <w:rFonts w:cs="Arial"/>
        </w:rPr>
        <w:t xml:space="preserve">The best source on this point is the BLS </w:t>
      </w:r>
      <w:r w:rsidR="00355282" w:rsidRPr="003D3F7A">
        <w:rPr>
          <w:rFonts w:cs="Arial"/>
          <w:i/>
          <w:iCs/>
        </w:rPr>
        <w:t>National Longitudinal Surveys</w:t>
      </w:r>
      <w:r w:rsidR="005A50A7" w:rsidRPr="003D3F7A">
        <w:rPr>
          <w:rFonts w:cs="Arial"/>
        </w:rPr>
        <w:t xml:space="preserve">: </w:t>
      </w:r>
      <w:r w:rsidR="00FF7D2A" w:rsidRPr="003D3F7A">
        <w:rPr>
          <w:rFonts w:cs="Arial"/>
        </w:rPr>
        <w:t xml:space="preserve"> the most relevant and up</w:t>
      </w:r>
      <w:r w:rsidR="00A65056">
        <w:rPr>
          <w:rFonts w:cs="Arial"/>
        </w:rPr>
        <w:t>-</w:t>
      </w:r>
      <w:r w:rsidR="00FF7D2A" w:rsidRPr="003D3F7A">
        <w:rPr>
          <w:rFonts w:cs="Arial"/>
        </w:rPr>
        <w:t>to</w:t>
      </w:r>
      <w:r w:rsidR="00A65056">
        <w:rPr>
          <w:rFonts w:cs="Arial"/>
        </w:rPr>
        <w:t>-</w:t>
      </w:r>
      <w:r w:rsidR="00FF7D2A" w:rsidRPr="003D3F7A">
        <w:rPr>
          <w:rFonts w:cs="Arial"/>
        </w:rPr>
        <w:t xml:space="preserve">date one </w:t>
      </w:r>
      <w:r w:rsidR="00001DBA" w:rsidRPr="003D3F7A">
        <w:rPr>
          <w:rFonts w:cs="Arial"/>
        </w:rPr>
        <w:t>followed individuals born between 1957 and 1964 (</w:t>
      </w:r>
      <w:r w:rsidR="001E552B" w:rsidRPr="003D3F7A">
        <w:rPr>
          <w:rFonts w:cs="Arial"/>
        </w:rPr>
        <w:t xml:space="preserve">the younger half of the baby boom generation) as they aged.  </w:t>
      </w:r>
    </w:p>
    <w:p w14:paraId="1C2FED14" w14:textId="77777777" w:rsidR="00957D11" w:rsidRPr="003D3F7A" w:rsidRDefault="00957D11">
      <w:pPr>
        <w:rPr>
          <w:rFonts w:cs="Arial"/>
        </w:rPr>
      </w:pPr>
    </w:p>
    <w:p w14:paraId="2DB3029A" w14:textId="0B757CBF" w:rsidR="00E11AF4" w:rsidRPr="003D3F7A" w:rsidRDefault="00E11AF4">
      <w:pPr>
        <w:rPr>
          <w:rFonts w:cs="Arial"/>
        </w:rPr>
      </w:pPr>
      <w:r w:rsidRPr="003D3F7A">
        <w:rPr>
          <w:rFonts w:cs="Arial"/>
        </w:rPr>
        <w:t xml:space="preserve">The basic patterns as these individuals aged are shown in the table and chart below.  </w:t>
      </w:r>
      <w:r w:rsidR="00175298" w:rsidRPr="003D3F7A">
        <w:rPr>
          <w:rFonts w:cs="Arial"/>
        </w:rPr>
        <w:t xml:space="preserve">Given the questions asked by this </w:t>
      </w:r>
      <w:r w:rsidR="00637C90" w:rsidRPr="003D3F7A">
        <w:rPr>
          <w:rFonts w:cs="Arial"/>
        </w:rPr>
        <w:t xml:space="preserve">survey, it is likely to encompass both health and disability impediments that limit </w:t>
      </w:r>
      <w:r w:rsidR="00F50562" w:rsidRPr="003D3F7A">
        <w:rPr>
          <w:rFonts w:cs="Arial"/>
        </w:rPr>
        <w:t xml:space="preserve">the kind of work individuals can perform (bearing in mind that </w:t>
      </w:r>
      <w:r w:rsidR="001B435B" w:rsidRPr="003D3F7A">
        <w:rPr>
          <w:rFonts w:cs="Arial"/>
        </w:rPr>
        <w:t xml:space="preserve">limitations don’t necessarily mean that individuals could not perform </w:t>
      </w:r>
      <w:r w:rsidR="001B435B" w:rsidRPr="003D3F7A">
        <w:rPr>
          <w:rFonts w:cs="Arial"/>
          <w:i/>
          <w:iCs/>
        </w:rPr>
        <w:t>some</w:t>
      </w:r>
      <w:r w:rsidR="001B435B" w:rsidRPr="003D3F7A">
        <w:rPr>
          <w:rFonts w:cs="Arial"/>
        </w:rPr>
        <w:t xml:space="preserve"> types of work).  </w:t>
      </w:r>
    </w:p>
    <w:p w14:paraId="668397D1" w14:textId="77777777" w:rsidR="002042E7" w:rsidRPr="003D3F7A" w:rsidRDefault="002042E7">
      <w:pPr>
        <w:rPr>
          <w:rFonts w:cs="Arial"/>
        </w:rPr>
      </w:pPr>
    </w:p>
    <w:p w14:paraId="14AD7BD9" w14:textId="7587521B" w:rsidR="002042E7" w:rsidRPr="003D3F7A" w:rsidRDefault="002042E7">
      <w:pPr>
        <w:rPr>
          <w:rFonts w:cs="Arial"/>
        </w:rPr>
      </w:pPr>
      <w:r w:rsidRPr="003D3F7A">
        <w:rPr>
          <w:rFonts w:cs="Arial"/>
        </w:rPr>
        <w:t>Generally, with each decade of aging</w:t>
      </w:r>
      <w:r w:rsidR="005C3700" w:rsidRPr="003D3F7A">
        <w:rPr>
          <w:rFonts w:cs="Arial"/>
        </w:rPr>
        <w:t xml:space="preserve"> after age 34, the likelihood of health limitations upon work roughly double.</w:t>
      </w:r>
      <w:r w:rsidR="00791042" w:rsidRPr="003D3F7A">
        <w:rPr>
          <w:rFonts w:cs="Arial"/>
        </w:rPr>
        <w:t xml:space="preserve">  </w:t>
      </w:r>
      <w:r w:rsidR="00655A8C" w:rsidRPr="003D3F7A">
        <w:rPr>
          <w:rFonts w:cs="Arial"/>
        </w:rPr>
        <w:t xml:space="preserve">African Americans and high school dropouts are by far the most likely to experience health limitations on </w:t>
      </w:r>
      <w:r w:rsidR="00B40847" w:rsidRPr="003D3F7A">
        <w:rPr>
          <w:rFonts w:cs="Arial"/>
        </w:rPr>
        <w:t xml:space="preserve">work, especially the latter.  These effects are so </w:t>
      </w:r>
      <w:r w:rsidR="00F65132" w:rsidRPr="003D3F7A">
        <w:rPr>
          <w:rFonts w:cs="Arial"/>
        </w:rPr>
        <w:t xml:space="preserve">extreme that high school dropouts are more likely to </w:t>
      </w:r>
      <w:r w:rsidR="008726D0" w:rsidRPr="003D3F7A">
        <w:rPr>
          <w:rFonts w:cs="Arial"/>
        </w:rPr>
        <w:t xml:space="preserve">experience such limitations at age 44 than are Whites and men in general who are a dozen years older.  </w:t>
      </w:r>
      <w:r w:rsidR="00D40DB9" w:rsidRPr="003D3F7A">
        <w:rPr>
          <w:rFonts w:cs="Arial"/>
        </w:rPr>
        <w:t xml:space="preserve">By age 56, nearly half of high school dropouts </w:t>
      </w:r>
      <w:r w:rsidR="00AC5C34" w:rsidRPr="003D3F7A">
        <w:rPr>
          <w:rFonts w:cs="Arial"/>
        </w:rPr>
        <w:t xml:space="preserve">have experienced a limitation upon the work that they can perform.  </w:t>
      </w:r>
      <w:r w:rsidR="004249AB" w:rsidRPr="003D3F7A">
        <w:rPr>
          <w:rFonts w:cs="Arial"/>
        </w:rPr>
        <w:t xml:space="preserve">Less educated individuals are much more likely to perform manual labor, and are much less likely to be hired for </w:t>
      </w:r>
      <w:r w:rsidR="008679D5" w:rsidRPr="003D3F7A">
        <w:rPr>
          <w:rFonts w:cs="Arial"/>
        </w:rPr>
        <w:t xml:space="preserve">the kind of white collar jobs that wouldn't necessitate manual labor – therefore work limitations for this group make it much less likely that they can find suitable work at all.  </w:t>
      </w:r>
      <w:r w:rsidR="006444E7" w:rsidRPr="003D3F7A">
        <w:rPr>
          <w:rFonts w:cs="Arial"/>
        </w:rPr>
        <w:t xml:space="preserve">The increasingly widening disparity </w:t>
      </w:r>
      <w:r w:rsidR="00765AFA" w:rsidRPr="003D3F7A">
        <w:rPr>
          <w:rFonts w:cs="Arial"/>
        </w:rPr>
        <w:t xml:space="preserve">is most easily visualized in the chart below the table.  </w:t>
      </w:r>
    </w:p>
    <w:p w14:paraId="478FCC55" w14:textId="77777777" w:rsidR="00E11AF4" w:rsidRPr="003D3F7A" w:rsidRDefault="00E11AF4">
      <w:pPr>
        <w:rPr>
          <w:rFonts w:cs="Arial"/>
        </w:rPr>
      </w:pPr>
    </w:p>
    <w:p w14:paraId="4C5DB879" w14:textId="7EF5BC0E" w:rsidR="00E11AF4" w:rsidRPr="003D3F7A" w:rsidRDefault="00E11AF4">
      <w:pPr>
        <w:rPr>
          <w:rFonts w:cs="Arial"/>
        </w:rPr>
      </w:pPr>
      <w:r w:rsidRPr="003D3F7A">
        <w:rPr>
          <w:rFonts w:cs="Arial"/>
          <w:noProof/>
        </w:rPr>
        <w:drawing>
          <wp:inline distT="0" distB="0" distL="0" distR="0" wp14:anchorId="7FC8A14A" wp14:editId="72D8B71D">
            <wp:extent cx="5797550" cy="3252470"/>
            <wp:effectExtent l="0" t="0" r="0" b="5080"/>
            <wp:docPr id="208392926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0" cy="3252470"/>
                    </a:xfrm>
                    <a:prstGeom prst="rect">
                      <a:avLst/>
                    </a:prstGeom>
                    <a:noFill/>
                    <a:ln>
                      <a:noFill/>
                    </a:ln>
                  </pic:spPr>
                </pic:pic>
              </a:graphicData>
            </a:graphic>
          </wp:inline>
        </w:drawing>
      </w:r>
    </w:p>
    <w:p w14:paraId="5216B697" w14:textId="75420D72" w:rsidR="00E11AF4" w:rsidRPr="003D3F7A" w:rsidRDefault="005630B4">
      <w:pPr>
        <w:rPr>
          <w:rFonts w:cs="Arial"/>
        </w:rPr>
      </w:pPr>
      <w:r w:rsidRPr="003D3F7A">
        <w:rPr>
          <w:rFonts w:cs="Arial"/>
        </w:rPr>
        <w:t xml:space="preserve">Source:  BLS </w:t>
      </w:r>
      <w:r w:rsidRPr="003D3F7A">
        <w:rPr>
          <w:rFonts w:cs="Arial"/>
          <w:i/>
          <w:iCs/>
        </w:rPr>
        <w:t xml:space="preserve">National Longitudinal Survey </w:t>
      </w:r>
      <w:r w:rsidR="006444E7" w:rsidRPr="003D3F7A">
        <w:rPr>
          <w:rFonts w:cs="Arial"/>
          <w:i/>
          <w:iCs/>
        </w:rPr>
        <w:t>of Youth</w:t>
      </w:r>
      <w:r w:rsidR="006444E7" w:rsidRPr="003D3F7A">
        <w:rPr>
          <w:rFonts w:cs="Arial"/>
        </w:rPr>
        <w:t>, 1979</w:t>
      </w:r>
    </w:p>
    <w:p w14:paraId="26E1898D" w14:textId="33B41C63" w:rsidR="00E11AF4" w:rsidRPr="003D3F7A" w:rsidRDefault="00BA07B6">
      <w:pPr>
        <w:rPr>
          <w:rFonts w:cs="Arial"/>
        </w:rPr>
      </w:pPr>
      <w:r w:rsidRPr="003D3F7A">
        <w:rPr>
          <w:rFonts w:cs="Arial"/>
          <w:noProof/>
        </w:rPr>
        <w:lastRenderedPageBreak/>
        <w:drawing>
          <wp:inline distT="0" distB="0" distL="0" distR="0" wp14:anchorId="263570F2" wp14:editId="2DD7325E">
            <wp:extent cx="6760845" cy="3719195"/>
            <wp:effectExtent l="0" t="0" r="1905" b="0"/>
            <wp:docPr id="180202827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60845" cy="3719195"/>
                    </a:xfrm>
                    <a:prstGeom prst="rect">
                      <a:avLst/>
                    </a:prstGeom>
                    <a:noFill/>
                  </pic:spPr>
                </pic:pic>
              </a:graphicData>
            </a:graphic>
          </wp:inline>
        </w:drawing>
      </w:r>
    </w:p>
    <w:p w14:paraId="4294C777" w14:textId="77777777" w:rsidR="006444E7" w:rsidRPr="003D3F7A" w:rsidRDefault="006444E7" w:rsidP="006444E7">
      <w:pPr>
        <w:rPr>
          <w:rFonts w:cs="Arial"/>
        </w:rPr>
      </w:pPr>
      <w:r w:rsidRPr="003D3F7A">
        <w:rPr>
          <w:rFonts w:cs="Arial"/>
        </w:rPr>
        <w:t xml:space="preserve">Source:  BLS </w:t>
      </w:r>
      <w:r w:rsidRPr="003D3F7A">
        <w:rPr>
          <w:rFonts w:cs="Arial"/>
          <w:i/>
          <w:iCs/>
        </w:rPr>
        <w:t>National Longitudinal Survey of Youth</w:t>
      </w:r>
      <w:r w:rsidRPr="003D3F7A">
        <w:rPr>
          <w:rFonts w:cs="Arial"/>
        </w:rPr>
        <w:t>, 1979</w:t>
      </w:r>
    </w:p>
    <w:p w14:paraId="3C5137A1" w14:textId="77777777" w:rsidR="00E11AF4" w:rsidRPr="003D3F7A" w:rsidRDefault="00E11AF4">
      <w:pPr>
        <w:rPr>
          <w:rFonts w:cs="Arial"/>
        </w:rPr>
      </w:pPr>
    </w:p>
    <w:p w14:paraId="5201632B" w14:textId="6A432E72" w:rsidR="00765AFA" w:rsidRPr="003D3F7A" w:rsidRDefault="00906914">
      <w:pPr>
        <w:rPr>
          <w:rFonts w:cs="Arial"/>
        </w:rPr>
      </w:pPr>
      <w:r w:rsidRPr="003D3F7A">
        <w:rPr>
          <w:rFonts w:cs="Arial"/>
        </w:rPr>
        <w:t>However, a notable counterv</w:t>
      </w:r>
      <w:r w:rsidR="00F00B52" w:rsidRPr="003D3F7A">
        <w:rPr>
          <w:rFonts w:cs="Arial"/>
        </w:rPr>
        <w:t>a</w:t>
      </w:r>
      <w:r w:rsidRPr="003D3F7A">
        <w:rPr>
          <w:rFonts w:cs="Arial"/>
        </w:rPr>
        <w:t>iling</w:t>
      </w:r>
      <w:r w:rsidR="00F00B52" w:rsidRPr="003D3F7A">
        <w:rPr>
          <w:rFonts w:cs="Arial"/>
        </w:rPr>
        <w:t xml:space="preserve"> trend</w:t>
      </w:r>
      <w:r w:rsidR="00A25071" w:rsidRPr="003D3F7A">
        <w:rPr>
          <w:rFonts w:cs="Arial"/>
        </w:rPr>
        <w:t xml:space="preserve"> is that disability rates prior to the pandemic had been falling within each age subgroup of older Americans, suggesting that older Americans were relatively healthier than their past cohorts.  </w:t>
      </w:r>
      <w:r w:rsidR="00F00B52" w:rsidRPr="003D3F7A">
        <w:rPr>
          <w:rFonts w:cs="Arial"/>
        </w:rPr>
        <w:t xml:space="preserve"> </w:t>
      </w:r>
    </w:p>
    <w:p w14:paraId="1495D8DC" w14:textId="77777777" w:rsidR="00765AFA" w:rsidRPr="003D3F7A" w:rsidRDefault="00765AFA">
      <w:pPr>
        <w:rPr>
          <w:rFonts w:cs="Arial"/>
        </w:rPr>
      </w:pPr>
    </w:p>
    <w:p w14:paraId="189B8A09" w14:textId="20676EA3" w:rsidR="00765AFA" w:rsidRPr="003D3F7A" w:rsidRDefault="007A6320">
      <w:pPr>
        <w:rPr>
          <w:rFonts w:cs="Arial"/>
        </w:rPr>
      </w:pPr>
      <w:r w:rsidRPr="003D3F7A">
        <w:rPr>
          <w:rFonts w:cs="Arial"/>
          <w:noProof/>
        </w:rPr>
        <w:drawing>
          <wp:inline distT="0" distB="0" distL="0" distR="0" wp14:anchorId="0EA334DD" wp14:editId="257BFB61">
            <wp:extent cx="5238115" cy="3895090"/>
            <wp:effectExtent l="0" t="0" r="635" b="0"/>
            <wp:docPr id="157625296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38115" cy="3895090"/>
                    </a:xfrm>
                    <a:prstGeom prst="rect">
                      <a:avLst/>
                    </a:prstGeom>
                    <a:noFill/>
                  </pic:spPr>
                </pic:pic>
              </a:graphicData>
            </a:graphic>
          </wp:inline>
        </w:drawing>
      </w:r>
    </w:p>
    <w:p w14:paraId="468E73DE" w14:textId="54EBBF2B" w:rsidR="0020671B" w:rsidRPr="003D3F7A" w:rsidRDefault="0020671B" w:rsidP="0020671B">
      <w:pPr>
        <w:rPr>
          <w:rFonts w:cs="Arial"/>
          <w:b/>
          <w:bCs/>
          <w:color w:val="FF0000"/>
        </w:rPr>
      </w:pPr>
      <w:r w:rsidRPr="003D3F7A">
        <w:rPr>
          <w:rFonts w:cs="Arial"/>
        </w:rPr>
        <w:t xml:space="preserve">Sources:  U.S. Census Bureau, </w:t>
      </w:r>
      <w:r w:rsidRPr="003D3F7A">
        <w:rPr>
          <w:rFonts w:cs="Arial"/>
          <w:i/>
          <w:iCs/>
        </w:rPr>
        <w:t>American Community Survey</w:t>
      </w:r>
      <w:r w:rsidRPr="003D3F7A">
        <w:rPr>
          <w:rFonts w:cs="Arial"/>
        </w:rPr>
        <w:t xml:space="preserve"> (ACS) and annual monthly averages of the </w:t>
      </w:r>
      <w:r w:rsidRPr="003D3F7A">
        <w:rPr>
          <w:rFonts w:cs="Arial"/>
          <w:i/>
          <w:iCs/>
        </w:rPr>
        <w:t>Current Population Survey</w:t>
      </w:r>
      <w:r w:rsidRPr="003D3F7A">
        <w:rPr>
          <w:rFonts w:cs="Arial"/>
        </w:rPr>
        <w:t> (CPS) for 65 and older only</w:t>
      </w:r>
    </w:p>
    <w:p w14:paraId="7E2B8ED2" w14:textId="2AC829E5" w:rsidR="00781935" w:rsidRPr="003D3F7A" w:rsidRDefault="003B7492">
      <w:pPr>
        <w:rPr>
          <w:rFonts w:cs="Arial"/>
        </w:rPr>
      </w:pPr>
      <w:r w:rsidRPr="003D3F7A">
        <w:rPr>
          <w:rFonts w:cs="Arial"/>
          <w:b/>
          <w:bCs/>
        </w:rPr>
        <w:lastRenderedPageBreak/>
        <w:t xml:space="preserve">Old Age Insurance and </w:t>
      </w:r>
      <w:r w:rsidR="005324C7" w:rsidRPr="003D3F7A">
        <w:rPr>
          <w:rFonts w:cs="Arial"/>
          <w:b/>
          <w:bCs/>
        </w:rPr>
        <w:t>disability income support programs.</w:t>
      </w:r>
      <w:r w:rsidR="005324C7" w:rsidRPr="003D3F7A">
        <w:rPr>
          <w:rFonts w:cs="Arial"/>
        </w:rPr>
        <w:t xml:space="preserve">  </w:t>
      </w:r>
      <w:r w:rsidR="002F3F8B" w:rsidRPr="003D3F7A">
        <w:rPr>
          <w:rFonts w:cs="Arial"/>
        </w:rPr>
        <w:t>The enac</w:t>
      </w:r>
      <w:r w:rsidR="00F47433" w:rsidRPr="003D3F7A">
        <w:rPr>
          <w:rFonts w:cs="Arial"/>
        </w:rPr>
        <w:t xml:space="preserve">tment </w:t>
      </w:r>
      <w:r w:rsidR="00FD6B7D" w:rsidRPr="003D3F7A">
        <w:rPr>
          <w:rFonts w:cs="Arial"/>
        </w:rPr>
        <w:t xml:space="preserve">of </w:t>
      </w:r>
      <w:r w:rsidR="00F47433" w:rsidRPr="003D3F7A">
        <w:rPr>
          <w:rFonts w:cs="Arial"/>
        </w:rPr>
        <w:t xml:space="preserve">the Social Security Act </w:t>
      </w:r>
      <w:r w:rsidR="00FD6B7D" w:rsidRPr="003D3F7A">
        <w:rPr>
          <w:rFonts w:cs="Arial"/>
        </w:rPr>
        <w:t xml:space="preserve">of 1935 made it possible </w:t>
      </w:r>
      <w:r w:rsidR="00DB5148" w:rsidRPr="003D3F7A">
        <w:rPr>
          <w:rFonts w:cs="Arial"/>
        </w:rPr>
        <w:t xml:space="preserve">in the U.S. </w:t>
      </w:r>
      <w:r w:rsidR="00FD6B7D" w:rsidRPr="003D3F7A">
        <w:rPr>
          <w:rFonts w:cs="Arial"/>
        </w:rPr>
        <w:t xml:space="preserve">for </w:t>
      </w:r>
      <w:r w:rsidR="00DB5148" w:rsidRPr="003D3F7A">
        <w:rPr>
          <w:rFonts w:cs="Arial"/>
        </w:rPr>
        <w:t xml:space="preserve">former workers </w:t>
      </w:r>
      <w:r w:rsidR="00CF79C6" w:rsidRPr="003D3F7A">
        <w:rPr>
          <w:rFonts w:cs="Arial"/>
        </w:rPr>
        <w:t>to retire and not risk economic catastrophe</w:t>
      </w:r>
      <w:r w:rsidR="001D3B7F" w:rsidRPr="003D3F7A">
        <w:rPr>
          <w:rFonts w:cs="Arial"/>
        </w:rPr>
        <w:t xml:space="preserve">.  The </w:t>
      </w:r>
      <w:r w:rsidR="004D1EAF" w:rsidRPr="003D3F7A">
        <w:rPr>
          <w:rFonts w:cs="Arial"/>
        </w:rPr>
        <w:t xml:space="preserve">United States </w:t>
      </w:r>
      <w:r w:rsidR="00B963FE" w:rsidRPr="003D3F7A">
        <w:rPr>
          <w:rFonts w:cs="Arial"/>
        </w:rPr>
        <w:t>was a latecomer to governmental old age insurance, pioneered in Germany in the late 1</w:t>
      </w:r>
      <w:r w:rsidR="00C31414" w:rsidRPr="003D3F7A">
        <w:rPr>
          <w:rFonts w:cs="Arial"/>
        </w:rPr>
        <w:t xml:space="preserve">880s, and only the Great Depression supplied the necessary support to </w:t>
      </w:r>
      <w:r w:rsidR="004D1EAF" w:rsidRPr="003D3F7A">
        <w:rPr>
          <w:rFonts w:cs="Arial"/>
        </w:rPr>
        <w:t xml:space="preserve">inaugurate this program in America.  </w:t>
      </w:r>
    </w:p>
    <w:p w14:paraId="78E954BB" w14:textId="77777777" w:rsidR="002F7B94" w:rsidRPr="003D3F7A" w:rsidRDefault="002F7B94">
      <w:pPr>
        <w:rPr>
          <w:rFonts w:cs="Arial"/>
        </w:rPr>
      </w:pPr>
    </w:p>
    <w:p w14:paraId="74682466" w14:textId="0FD879D5" w:rsidR="00F71B6F" w:rsidRPr="003D3F7A" w:rsidRDefault="002F7B94">
      <w:pPr>
        <w:rPr>
          <w:rFonts w:cs="Arial"/>
        </w:rPr>
      </w:pPr>
      <w:r w:rsidRPr="003D3F7A">
        <w:rPr>
          <w:rFonts w:cs="Arial"/>
        </w:rPr>
        <w:t xml:space="preserve">As shown </w:t>
      </w:r>
      <w:r w:rsidR="00A02416" w:rsidRPr="003D3F7A">
        <w:rPr>
          <w:rFonts w:cs="Arial"/>
        </w:rPr>
        <w:t xml:space="preserve">in a chart below, elderly employment rates had been declining </w:t>
      </w:r>
      <w:r w:rsidR="00AD5E0E" w:rsidRPr="003D3F7A">
        <w:rPr>
          <w:rFonts w:cs="Arial"/>
        </w:rPr>
        <w:t>since about 1900, some four decades before Old Age Insurance payments were first made</w:t>
      </w:r>
      <w:r w:rsidR="00906EC4" w:rsidRPr="003D3F7A">
        <w:rPr>
          <w:rFonts w:cs="Arial"/>
        </w:rPr>
        <w:t xml:space="preserve"> (not until the 1940s, despite the 1935 enactment, and Social Security taxes were implemented before any benefits were paid</w:t>
      </w:r>
      <w:r w:rsidR="003647D4" w:rsidRPr="003D3F7A">
        <w:rPr>
          <w:rFonts w:cs="Arial"/>
        </w:rPr>
        <w:t xml:space="preserve">).  Moreover, even after the full implementation of Old Age Insurance, employment rates </w:t>
      </w:r>
      <w:r w:rsidR="003F241D" w:rsidRPr="003D3F7A">
        <w:rPr>
          <w:rFonts w:cs="Arial"/>
        </w:rPr>
        <w:t>rose among 55 to 64 year-olds (some of which were eligible for early retirement</w:t>
      </w:r>
      <w:r w:rsidR="004B02DB" w:rsidRPr="003D3F7A">
        <w:rPr>
          <w:rFonts w:cs="Arial"/>
        </w:rPr>
        <w:t xml:space="preserve"> at age 62, </w:t>
      </w:r>
      <w:r w:rsidR="00EC5AC3" w:rsidRPr="003D3F7A">
        <w:rPr>
          <w:rFonts w:cs="Arial"/>
        </w:rPr>
        <w:t>beginning in the early 1960s</w:t>
      </w:r>
      <w:r w:rsidR="003F241D" w:rsidRPr="003D3F7A">
        <w:rPr>
          <w:rFonts w:cs="Arial"/>
        </w:rPr>
        <w:t xml:space="preserve">) in the immediate post-World War II period.  </w:t>
      </w:r>
      <w:r w:rsidR="00716C19" w:rsidRPr="003D3F7A">
        <w:rPr>
          <w:rFonts w:cs="Arial"/>
        </w:rPr>
        <w:t xml:space="preserve">Nonetheless, Old Age Insurance made it possible for employment rates to </w:t>
      </w:r>
      <w:r w:rsidR="00616FF9" w:rsidRPr="003D3F7A">
        <w:rPr>
          <w:rFonts w:cs="Arial"/>
        </w:rPr>
        <w:t xml:space="preserve">continue </w:t>
      </w:r>
      <w:r w:rsidR="00DE354C">
        <w:rPr>
          <w:rFonts w:cs="Arial"/>
        </w:rPr>
        <w:t xml:space="preserve">to </w:t>
      </w:r>
      <w:r w:rsidR="00716C19" w:rsidRPr="003D3F7A">
        <w:rPr>
          <w:rFonts w:cs="Arial"/>
        </w:rPr>
        <w:t xml:space="preserve">decline among the </w:t>
      </w:r>
      <w:r w:rsidR="00616FF9" w:rsidRPr="003D3F7A">
        <w:rPr>
          <w:rFonts w:cs="Arial"/>
        </w:rPr>
        <w:t>elderly through the mid-1980s</w:t>
      </w:r>
      <w:r w:rsidR="002F018C" w:rsidRPr="003D3F7A">
        <w:rPr>
          <w:rFonts w:cs="Arial"/>
        </w:rPr>
        <w:t xml:space="preserve">, </w:t>
      </w:r>
      <w:r w:rsidR="009C037F" w:rsidRPr="003D3F7A">
        <w:rPr>
          <w:rFonts w:cs="Arial"/>
        </w:rPr>
        <w:t xml:space="preserve">and even among 55 to 64 year-olds from about 1970 through the mid-1980s. </w:t>
      </w:r>
    </w:p>
    <w:p w14:paraId="4D945048" w14:textId="77777777" w:rsidR="005D5648" w:rsidRPr="003D3F7A" w:rsidRDefault="005D5648">
      <w:pPr>
        <w:rPr>
          <w:rFonts w:cs="Arial"/>
        </w:rPr>
      </w:pPr>
    </w:p>
    <w:p w14:paraId="6AFDB5F3" w14:textId="43EC67B3" w:rsidR="002F7B94" w:rsidRPr="003D3F7A" w:rsidRDefault="00F57DDE">
      <w:pPr>
        <w:rPr>
          <w:rFonts w:cs="Arial"/>
          <w:iCs/>
        </w:rPr>
      </w:pPr>
      <w:r w:rsidRPr="003D3F7A">
        <w:rPr>
          <w:rFonts w:cs="Arial"/>
        </w:rPr>
        <w:t>C</w:t>
      </w:r>
      <w:r w:rsidR="005D5648" w:rsidRPr="003D3F7A">
        <w:rPr>
          <w:rFonts w:cs="Arial"/>
        </w:rPr>
        <w:t xml:space="preserve">oncern about the solvency of the Old Age Insurance program led to the Social Security Amendments of </w:t>
      </w:r>
      <w:r w:rsidR="005E25E9" w:rsidRPr="003D3F7A">
        <w:rPr>
          <w:rFonts w:cs="Arial"/>
        </w:rPr>
        <w:t>1983, which raised the age of full retirement benefits from 65 to 67</w:t>
      </w:r>
      <w:r w:rsidR="00B51CD2" w:rsidRPr="003D3F7A">
        <w:rPr>
          <w:rFonts w:cs="Arial"/>
        </w:rPr>
        <w:t xml:space="preserve">.  </w:t>
      </w:r>
      <w:r w:rsidR="003D3BBF" w:rsidRPr="003D3F7A">
        <w:rPr>
          <w:rFonts w:cs="Arial"/>
        </w:rPr>
        <w:t>This marked the first major retrenchment</w:t>
      </w:r>
      <w:r w:rsidR="009C037F" w:rsidRPr="003D3F7A">
        <w:rPr>
          <w:rFonts w:cs="Arial"/>
        </w:rPr>
        <w:t xml:space="preserve"> </w:t>
      </w:r>
      <w:r w:rsidR="00C644F8" w:rsidRPr="003D3F7A">
        <w:rPr>
          <w:rFonts w:cs="Arial"/>
        </w:rPr>
        <w:t xml:space="preserve">in the Social Security program, which had until then expanded over many decades.  </w:t>
      </w:r>
      <w:r w:rsidR="00CD13D3" w:rsidRPr="003D3F7A">
        <w:rPr>
          <w:rFonts w:cs="Arial"/>
        </w:rPr>
        <w:t xml:space="preserve">However, in </w:t>
      </w:r>
      <w:r w:rsidR="00A83469" w:rsidRPr="003D3F7A">
        <w:rPr>
          <w:rFonts w:cs="Arial"/>
        </w:rPr>
        <w:t xml:space="preserve">likely </w:t>
      </w:r>
      <w:r w:rsidR="00CD13D3" w:rsidRPr="003D3F7A">
        <w:rPr>
          <w:rFonts w:cs="Arial"/>
        </w:rPr>
        <w:t xml:space="preserve">the most </w:t>
      </w:r>
      <w:r w:rsidR="00A83469" w:rsidRPr="003D3F7A">
        <w:rPr>
          <w:rFonts w:cs="Arial"/>
        </w:rPr>
        <w:t xml:space="preserve">delayed legislative implementation in American history, </w:t>
      </w:r>
      <w:r w:rsidR="005426B6" w:rsidRPr="003D3F7A">
        <w:rPr>
          <w:rFonts w:cs="Arial"/>
        </w:rPr>
        <w:t xml:space="preserve">the retirement age only </w:t>
      </w:r>
      <w:r w:rsidR="005426B6" w:rsidRPr="003D3F7A">
        <w:rPr>
          <w:rFonts w:cs="Arial"/>
          <w:i/>
          <w:iCs/>
        </w:rPr>
        <w:t>began</w:t>
      </w:r>
      <w:r w:rsidR="005426B6" w:rsidRPr="003D3F7A">
        <w:rPr>
          <w:rFonts w:cs="Arial"/>
        </w:rPr>
        <w:t xml:space="preserve"> to be raised two decades later</w:t>
      </w:r>
      <w:r w:rsidR="000C11DB" w:rsidRPr="003D3F7A">
        <w:rPr>
          <w:rFonts w:cs="Arial"/>
        </w:rPr>
        <w:t xml:space="preserve">, in 2003, and </w:t>
      </w:r>
      <w:r w:rsidR="00A96134">
        <w:rPr>
          <w:rFonts w:cs="Arial"/>
        </w:rPr>
        <w:t xml:space="preserve">won’t </w:t>
      </w:r>
      <w:r w:rsidR="000C11DB" w:rsidRPr="003D3F7A">
        <w:rPr>
          <w:rFonts w:cs="Arial"/>
        </w:rPr>
        <w:t xml:space="preserve">fully </w:t>
      </w:r>
      <w:r w:rsidR="002B566B">
        <w:rPr>
          <w:rFonts w:cs="Arial"/>
        </w:rPr>
        <w:t>rise</w:t>
      </w:r>
      <w:r w:rsidR="000C11DB" w:rsidRPr="003D3F7A">
        <w:rPr>
          <w:rFonts w:cs="Arial"/>
        </w:rPr>
        <w:t xml:space="preserve"> to age 67 </w:t>
      </w:r>
      <w:r w:rsidR="00A96134">
        <w:rPr>
          <w:rFonts w:cs="Arial"/>
        </w:rPr>
        <w:t xml:space="preserve">for </w:t>
      </w:r>
      <w:r w:rsidR="000C11DB" w:rsidRPr="003D3F7A">
        <w:rPr>
          <w:rFonts w:cs="Arial"/>
        </w:rPr>
        <w:t xml:space="preserve">nearly another quarter century after that, in 2027.  </w:t>
      </w:r>
      <w:r w:rsidR="00853770" w:rsidRPr="003D3F7A">
        <w:rPr>
          <w:rFonts w:cs="Arial"/>
        </w:rPr>
        <w:t xml:space="preserve">It is extremely unlikely that </w:t>
      </w:r>
      <w:r w:rsidR="00630F24" w:rsidRPr="003D3F7A">
        <w:rPr>
          <w:rFonts w:cs="Arial"/>
        </w:rPr>
        <w:t xml:space="preserve">most Americans were fully aware of these details, although </w:t>
      </w:r>
      <w:r w:rsidR="006B01ED" w:rsidRPr="003D3F7A">
        <w:rPr>
          <w:rFonts w:cs="Arial"/>
        </w:rPr>
        <w:t xml:space="preserve">general </w:t>
      </w:r>
      <w:r w:rsidR="00630F24" w:rsidRPr="003D3F7A">
        <w:rPr>
          <w:rFonts w:cs="Arial"/>
        </w:rPr>
        <w:t xml:space="preserve">understanding </w:t>
      </w:r>
      <w:r w:rsidR="006B01ED" w:rsidRPr="003D3F7A">
        <w:rPr>
          <w:rFonts w:cs="Arial"/>
        </w:rPr>
        <w:t xml:space="preserve">of the increase was widely known.  </w:t>
      </w:r>
      <w:r w:rsidR="00A52BA2" w:rsidRPr="003D3F7A">
        <w:rPr>
          <w:rFonts w:cs="Arial"/>
        </w:rPr>
        <w:t>The eligibility year for early retirement remained at 62</w:t>
      </w:r>
      <w:r w:rsidR="00BE119A" w:rsidRPr="003D3F7A">
        <w:rPr>
          <w:rFonts w:cs="Arial"/>
        </w:rPr>
        <w:t xml:space="preserve">.  The benefit amounts </w:t>
      </w:r>
      <w:r w:rsidR="00207FD5">
        <w:rPr>
          <w:rFonts w:cs="Arial"/>
        </w:rPr>
        <w:t>are</w:t>
      </w:r>
      <w:r w:rsidR="00BE119A" w:rsidRPr="003D3F7A">
        <w:rPr>
          <w:rFonts w:cs="Arial"/>
        </w:rPr>
        <w:t xml:space="preserve"> structured in such a way that the precise age of retirement </w:t>
      </w:r>
      <w:r w:rsidR="000C70E4" w:rsidRPr="003D3F7A">
        <w:rPr>
          <w:rFonts w:cs="Arial"/>
        </w:rPr>
        <w:t xml:space="preserve">affects the </w:t>
      </w:r>
      <w:r w:rsidR="000C70E4" w:rsidRPr="003D3F7A">
        <w:rPr>
          <w:rFonts w:cs="Arial"/>
          <w:i/>
          <w:iCs/>
        </w:rPr>
        <w:t>permanent</w:t>
      </w:r>
      <w:r w:rsidR="000C70E4" w:rsidRPr="003D3F7A">
        <w:rPr>
          <w:rFonts w:cs="Arial"/>
        </w:rPr>
        <w:t xml:space="preserve"> </w:t>
      </w:r>
      <w:r w:rsidR="00F2194E" w:rsidRPr="003D3F7A">
        <w:rPr>
          <w:rFonts w:cs="Arial"/>
        </w:rPr>
        <w:t xml:space="preserve">benefit of the retiree, so that individuals who retire between </w:t>
      </w:r>
      <w:r w:rsidR="00F95A21" w:rsidRPr="003D3F7A">
        <w:rPr>
          <w:rFonts w:cs="Arial"/>
        </w:rPr>
        <w:t xml:space="preserve">62 and 66 received a reduced pension, and individuals who retire at 67 received the full pension, </w:t>
      </w:r>
      <w:r w:rsidR="00CB72AB">
        <w:rPr>
          <w:rFonts w:cs="Arial"/>
        </w:rPr>
        <w:t xml:space="preserve">whereas </w:t>
      </w:r>
      <w:r w:rsidR="00F95A21" w:rsidRPr="003D3F7A">
        <w:rPr>
          <w:rFonts w:cs="Arial"/>
        </w:rPr>
        <w:t xml:space="preserve">individuals who delay their retirement </w:t>
      </w:r>
      <w:r w:rsidR="008E270E" w:rsidRPr="003D3F7A">
        <w:rPr>
          <w:rFonts w:cs="Arial"/>
        </w:rPr>
        <w:t xml:space="preserve">until the ages of 68 through 72 receive an amount </w:t>
      </w:r>
      <w:r w:rsidR="008E270E" w:rsidRPr="003D3F7A">
        <w:rPr>
          <w:rFonts w:cs="Arial"/>
          <w:i/>
        </w:rPr>
        <w:t>higher</w:t>
      </w:r>
      <w:r w:rsidR="008E270E" w:rsidRPr="003D3F7A">
        <w:rPr>
          <w:rFonts w:cs="Arial"/>
          <w:iCs/>
        </w:rPr>
        <w:t xml:space="preserve"> than the full pension.  </w:t>
      </w:r>
      <w:r w:rsidR="008F03BA" w:rsidRPr="003D3F7A">
        <w:rPr>
          <w:rFonts w:cs="Arial"/>
          <w:iCs/>
        </w:rPr>
        <w:t xml:space="preserve">Thus older individuals </w:t>
      </w:r>
      <w:r w:rsidR="00207FD5">
        <w:rPr>
          <w:rFonts w:cs="Arial"/>
          <w:iCs/>
        </w:rPr>
        <w:t xml:space="preserve">have </w:t>
      </w:r>
      <w:r w:rsidR="008F03BA" w:rsidRPr="003D3F7A">
        <w:rPr>
          <w:rFonts w:cs="Arial"/>
          <w:iCs/>
        </w:rPr>
        <w:t xml:space="preserve">an incentive to delay their retirement until </w:t>
      </w:r>
      <w:r w:rsidR="003C03C9" w:rsidRPr="003D3F7A">
        <w:rPr>
          <w:rFonts w:cs="Arial"/>
          <w:iCs/>
        </w:rPr>
        <w:t xml:space="preserve">67, and an even greater incentive to delay retirement until age 72 – although after 72 </w:t>
      </w:r>
      <w:r w:rsidR="00E45DE0" w:rsidRPr="003D3F7A">
        <w:rPr>
          <w:rFonts w:cs="Arial"/>
          <w:iCs/>
        </w:rPr>
        <w:t xml:space="preserve">no additional bonus </w:t>
      </w:r>
      <w:r w:rsidR="00246C86">
        <w:rPr>
          <w:rFonts w:cs="Arial"/>
          <w:iCs/>
        </w:rPr>
        <w:t>is</w:t>
      </w:r>
      <w:r w:rsidR="00E45DE0" w:rsidRPr="003D3F7A">
        <w:rPr>
          <w:rFonts w:cs="Arial"/>
          <w:iCs/>
        </w:rPr>
        <w:t xml:space="preserve"> paid.  </w:t>
      </w:r>
    </w:p>
    <w:p w14:paraId="616ACB72" w14:textId="77777777" w:rsidR="00CF31BB" w:rsidRPr="003D3F7A" w:rsidRDefault="00CF31BB">
      <w:pPr>
        <w:rPr>
          <w:rFonts w:cs="Arial"/>
          <w:iCs/>
        </w:rPr>
      </w:pPr>
    </w:p>
    <w:p w14:paraId="3163872A" w14:textId="0ADC4B2C" w:rsidR="00CF31BB" w:rsidRPr="003D3F7A" w:rsidRDefault="00D05D11">
      <w:pPr>
        <w:rPr>
          <w:rFonts w:cs="Arial"/>
          <w:iCs/>
        </w:rPr>
      </w:pPr>
      <w:r w:rsidRPr="003D3F7A">
        <w:rPr>
          <w:rFonts w:cs="Arial"/>
          <w:iCs/>
        </w:rPr>
        <w:t>The increase in the age of full retirement Old Age Insurance benefits, combined with a radical diminution of private sector employer pensions</w:t>
      </w:r>
      <w:r w:rsidR="00BC0E01" w:rsidRPr="003D3F7A">
        <w:rPr>
          <w:rFonts w:cs="Arial"/>
          <w:iCs/>
        </w:rPr>
        <w:t xml:space="preserve">, has had a major impact on enhancing </w:t>
      </w:r>
      <w:r w:rsidR="002740D7" w:rsidRPr="003D3F7A">
        <w:rPr>
          <w:rFonts w:cs="Arial"/>
          <w:iCs/>
        </w:rPr>
        <w:t xml:space="preserve">employment among older individuals, as detailed </w:t>
      </w:r>
      <w:r w:rsidR="003931C2" w:rsidRPr="003D3F7A">
        <w:rPr>
          <w:rFonts w:cs="Arial"/>
          <w:iCs/>
        </w:rPr>
        <w:t xml:space="preserve">below.  </w:t>
      </w:r>
    </w:p>
    <w:p w14:paraId="7DA9FCF2" w14:textId="77777777" w:rsidR="00365E67" w:rsidRPr="003D3F7A" w:rsidRDefault="00365E67">
      <w:pPr>
        <w:rPr>
          <w:rFonts w:cs="Arial"/>
          <w:iCs/>
        </w:rPr>
      </w:pPr>
    </w:p>
    <w:p w14:paraId="7A60D755" w14:textId="0EED07D3" w:rsidR="00365E67" w:rsidRPr="003D3F7A" w:rsidRDefault="00FF3E44">
      <w:pPr>
        <w:rPr>
          <w:rFonts w:cs="Arial"/>
          <w:iCs/>
        </w:rPr>
      </w:pPr>
      <w:r w:rsidRPr="003D3F7A">
        <w:rPr>
          <w:rFonts w:cs="Arial"/>
          <w:iCs/>
        </w:rPr>
        <w:t xml:space="preserve">Several </w:t>
      </w:r>
      <w:r w:rsidR="00A34FF2" w:rsidRPr="003D3F7A">
        <w:rPr>
          <w:rFonts w:cs="Arial"/>
          <w:iCs/>
        </w:rPr>
        <w:t xml:space="preserve">other income support </w:t>
      </w:r>
      <w:r w:rsidR="002201D5" w:rsidRPr="003D3F7A">
        <w:rPr>
          <w:rFonts w:cs="Arial"/>
          <w:iCs/>
        </w:rPr>
        <w:t xml:space="preserve">programs play a potentially important role in the labor market </w:t>
      </w:r>
      <w:r w:rsidR="00550610" w:rsidRPr="003D3F7A">
        <w:rPr>
          <w:rFonts w:cs="Arial"/>
          <w:iCs/>
        </w:rPr>
        <w:t xml:space="preserve">behavior of older individuals.  All arose after the creation of Social Security, and </w:t>
      </w:r>
      <w:r w:rsidR="00DA4450" w:rsidRPr="003D3F7A">
        <w:rPr>
          <w:rFonts w:cs="Arial"/>
          <w:iCs/>
        </w:rPr>
        <w:t xml:space="preserve">the most important are two disability income support programs that are part of the Social Security system. </w:t>
      </w:r>
    </w:p>
    <w:p w14:paraId="379444BE" w14:textId="77777777" w:rsidR="00A43C46" w:rsidRPr="003D3F7A" w:rsidRDefault="00A43C46">
      <w:pPr>
        <w:rPr>
          <w:rFonts w:cs="Arial"/>
          <w:iCs/>
        </w:rPr>
      </w:pPr>
    </w:p>
    <w:p w14:paraId="6FCE0755" w14:textId="58195C3E" w:rsidR="0091635B" w:rsidRPr="0091635B" w:rsidRDefault="0091635B" w:rsidP="0091635B">
      <w:pPr>
        <w:rPr>
          <w:rFonts w:eastAsia="Calibri" w:cs="Arial"/>
        </w:rPr>
      </w:pPr>
      <w:r w:rsidRPr="0091635B">
        <w:rPr>
          <w:rFonts w:eastAsia="Calibri" w:cs="Arial"/>
        </w:rPr>
        <w:t xml:space="preserve">Although early retirement under the Old Age Insurance component of Social Security is only possible at age 62, surveys indicate that those who have retired gave a median age of retirement of 59. Thus although older Americans through age 64 have increased their employment rate (see the attachment above), a significant proportion do not work, including some who consider themselves retired.  </w:t>
      </w:r>
    </w:p>
    <w:p w14:paraId="4DFC4203" w14:textId="77777777" w:rsidR="0091635B" w:rsidRPr="0091635B" w:rsidRDefault="0091635B" w:rsidP="0091635B">
      <w:pPr>
        <w:rPr>
          <w:rFonts w:eastAsia="Calibri" w:cs="Arial"/>
        </w:rPr>
      </w:pPr>
    </w:p>
    <w:p w14:paraId="6FD4EB25" w14:textId="2F3A4E52" w:rsidR="00A43C46" w:rsidRPr="003D3F7A" w:rsidRDefault="0091635B" w:rsidP="0091635B">
      <w:pPr>
        <w:rPr>
          <w:rFonts w:eastAsia="Calibri" w:cs="Arial"/>
        </w:rPr>
      </w:pPr>
      <w:r w:rsidRPr="003D3F7A">
        <w:rPr>
          <w:rFonts w:eastAsia="Calibri" w:cs="Arial"/>
        </w:rPr>
        <w:t>One means of in-effect retiring prior to age 62 is to obtain disability benefits through the Social Security Disability Insurance (DI) or Supplemental Security Income (SSI).</w:t>
      </w:r>
      <w:r w:rsidR="00503733" w:rsidRPr="003D3F7A">
        <w:rPr>
          <w:rFonts w:eastAsia="Calibri" w:cs="Arial"/>
        </w:rPr>
        <w:t xml:space="preserve">  </w:t>
      </w:r>
      <w:r w:rsidR="0026780D" w:rsidRPr="003D3F7A">
        <w:rPr>
          <w:rFonts w:eastAsia="Calibri" w:cs="Arial"/>
        </w:rPr>
        <w:t xml:space="preserve">The Disability Insurance program began making payments in </w:t>
      </w:r>
      <w:r w:rsidR="00733F92" w:rsidRPr="003D3F7A">
        <w:rPr>
          <w:rFonts w:eastAsia="Calibri" w:cs="Arial"/>
        </w:rPr>
        <w:t xml:space="preserve">1958, and SSI in 1974.  Both were intended to fill gaps in the </w:t>
      </w:r>
      <w:r w:rsidR="00DE40A2" w:rsidRPr="003D3F7A">
        <w:rPr>
          <w:rFonts w:eastAsia="Calibri" w:cs="Arial"/>
        </w:rPr>
        <w:t>Social Security system</w:t>
      </w:r>
      <w:r w:rsidR="00D3544D" w:rsidRPr="003D3F7A">
        <w:rPr>
          <w:rFonts w:eastAsia="Calibri" w:cs="Arial"/>
        </w:rPr>
        <w:t xml:space="preserve">. </w:t>
      </w:r>
      <w:r w:rsidR="00DE40A2" w:rsidRPr="003D3F7A">
        <w:rPr>
          <w:rFonts w:eastAsia="Calibri" w:cs="Arial"/>
        </w:rPr>
        <w:t xml:space="preserve"> </w:t>
      </w:r>
      <w:r w:rsidR="00D3544D" w:rsidRPr="003D3F7A">
        <w:rPr>
          <w:rFonts w:eastAsia="Calibri" w:cs="Arial"/>
        </w:rPr>
        <w:t>Disability Insurance</w:t>
      </w:r>
      <w:r w:rsidR="00DE40A2" w:rsidRPr="003D3F7A">
        <w:rPr>
          <w:rFonts w:eastAsia="Calibri" w:cs="Arial"/>
        </w:rPr>
        <w:t xml:space="preserve"> provide</w:t>
      </w:r>
      <w:r w:rsidR="00D3544D" w:rsidRPr="003D3F7A">
        <w:rPr>
          <w:rFonts w:eastAsia="Calibri" w:cs="Arial"/>
        </w:rPr>
        <w:t>s</w:t>
      </w:r>
      <w:r w:rsidR="00DE40A2" w:rsidRPr="003D3F7A">
        <w:rPr>
          <w:rFonts w:eastAsia="Calibri" w:cs="Arial"/>
        </w:rPr>
        <w:t xml:space="preserve"> </w:t>
      </w:r>
      <w:r w:rsidR="00D3544D" w:rsidRPr="003D3F7A">
        <w:rPr>
          <w:rFonts w:eastAsia="Calibri" w:cs="Arial"/>
        </w:rPr>
        <w:t>assistance to those who have a history of working (similar to the design of Social Security Old Age Insurance), but could no longer work and were too young to retire:  the initial eligibility ages were 50 to 64 (later lowered). </w:t>
      </w:r>
      <w:r w:rsidR="00E554CE" w:rsidRPr="003D3F7A">
        <w:rPr>
          <w:rFonts w:eastAsia="Calibri" w:cs="Arial"/>
        </w:rPr>
        <w:t xml:space="preserve"> </w:t>
      </w:r>
      <w:r w:rsidR="00B40A0A" w:rsidRPr="003D3F7A">
        <w:rPr>
          <w:rFonts w:eastAsia="Calibri" w:cs="Arial"/>
        </w:rPr>
        <w:t xml:space="preserve">SSI </w:t>
      </w:r>
      <w:r w:rsidR="003F1982" w:rsidRPr="003D3F7A">
        <w:rPr>
          <w:rFonts w:eastAsia="Calibri" w:cs="Arial"/>
        </w:rPr>
        <w:t xml:space="preserve">assists those who are disabled but lack the work history necessary to receive Disability Insurance.  SSI also provides income support to all individuals 65 and older who either </w:t>
      </w:r>
      <w:r w:rsidR="007E70BE" w:rsidRPr="003D3F7A">
        <w:rPr>
          <w:rFonts w:eastAsia="Calibri" w:cs="Arial"/>
        </w:rPr>
        <w:t xml:space="preserve">aren’t </w:t>
      </w:r>
      <w:r w:rsidR="003F1982" w:rsidRPr="003D3F7A">
        <w:rPr>
          <w:rFonts w:eastAsia="Calibri" w:cs="Arial"/>
        </w:rPr>
        <w:t xml:space="preserve">eligible or </w:t>
      </w:r>
      <w:r w:rsidR="007E70BE" w:rsidRPr="003D3F7A">
        <w:rPr>
          <w:rFonts w:eastAsia="Calibri" w:cs="Arial"/>
        </w:rPr>
        <w:t xml:space="preserve">don’t </w:t>
      </w:r>
      <w:r w:rsidR="003F1982" w:rsidRPr="003D3F7A">
        <w:rPr>
          <w:rFonts w:eastAsia="Calibri" w:cs="Arial"/>
        </w:rPr>
        <w:t xml:space="preserve">receive sufficient income via the Old Age Insurance component, but in this analysis the focus is restricted to non-elderly adult SSI recipients (the program also provides some support to those younger than 18, also not included here except in the first chart below).  </w:t>
      </w:r>
    </w:p>
    <w:p w14:paraId="7B66F55F" w14:textId="77777777" w:rsidR="00D05E96" w:rsidRPr="003D3F7A" w:rsidRDefault="00D05E96" w:rsidP="0091635B">
      <w:pPr>
        <w:rPr>
          <w:rFonts w:eastAsia="Calibri" w:cs="Arial"/>
        </w:rPr>
      </w:pPr>
    </w:p>
    <w:p w14:paraId="6C2D1F8F" w14:textId="77777777" w:rsidR="00367EC1" w:rsidRDefault="00367EC1" w:rsidP="0091635B">
      <w:pPr>
        <w:rPr>
          <w:rFonts w:eastAsia="Calibri" w:cs="Arial"/>
          <w:b/>
          <w:bCs/>
        </w:rPr>
      </w:pPr>
      <w:r>
        <w:rPr>
          <w:rFonts w:eastAsia="Calibri" w:cs="Arial"/>
          <w:b/>
          <w:bCs/>
        </w:rPr>
        <w:br w:type="page"/>
      </w:r>
    </w:p>
    <w:p w14:paraId="30506B5E" w14:textId="64C17186" w:rsidR="00D05E96" w:rsidRDefault="00A7654A" w:rsidP="0091635B">
      <w:pPr>
        <w:rPr>
          <w:rFonts w:eastAsia="Calibri" w:cs="Arial"/>
        </w:rPr>
      </w:pPr>
      <w:r w:rsidRPr="003D3F7A">
        <w:rPr>
          <w:rFonts w:eastAsia="Calibri" w:cs="Arial"/>
          <w:b/>
          <w:bCs/>
        </w:rPr>
        <w:lastRenderedPageBreak/>
        <w:t xml:space="preserve">Trends in receiving various types of </w:t>
      </w:r>
      <w:r w:rsidR="00EA7722" w:rsidRPr="003D3F7A">
        <w:rPr>
          <w:rFonts w:eastAsia="Calibri" w:cs="Arial"/>
          <w:b/>
          <w:bCs/>
        </w:rPr>
        <w:t>income among older individuals.</w:t>
      </w:r>
      <w:r w:rsidR="00EA7722" w:rsidRPr="003D3F7A">
        <w:rPr>
          <w:rFonts w:eastAsia="Calibri" w:cs="Arial"/>
        </w:rPr>
        <w:t xml:space="preserve">  </w:t>
      </w:r>
      <w:r w:rsidR="003D3F7A">
        <w:rPr>
          <w:rFonts w:eastAsia="Calibri" w:cs="Arial"/>
        </w:rPr>
        <w:t xml:space="preserve">Older Americans </w:t>
      </w:r>
      <w:r w:rsidR="00CF6E72">
        <w:rPr>
          <w:rFonts w:eastAsia="Calibri" w:cs="Arial"/>
        </w:rPr>
        <w:t xml:space="preserve">generally </w:t>
      </w:r>
      <w:r w:rsidR="003D3F7A">
        <w:rPr>
          <w:rFonts w:eastAsia="Calibri" w:cs="Arial"/>
        </w:rPr>
        <w:t xml:space="preserve">have access to more varied types of </w:t>
      </w:r>
      <w:r w:rsidR="001D20B7">
        <w:rPr>
          <w:rFonts w:eastAsia="Calibri" w:cs="Arial"/>
        </w:rPr>
        <w:t xml:space="preserve">income than their younger </w:t>
      </w:r>
      <w:r w:rsidR="00CF6E72">
        <w:rPr>
          <w:rFonts w:eastAsia="Calibri" w:cs="Arial"/>
        </w:rPr>
        <w:t xml:space="preserve">adult </w:t>
      </w:r>
      <w:r w:rsidR="001D20B7">
        <w:rPr>
          <w:rFonts w:eastAsia="Calibri" w:cs="Arial"/>
        </w:rPr>
        <w:t>counterparts</w:t>
      </w:r>
      <w:r w:rsidR="00CF6E72">
        <w:rPr>
          <w:rFonts w:eastAsia="Calibri" w:cs="Arial"/>
        </w:rPr>
        <w:t xml:space="preserve">, </w:t>
      </w:r>
      <w:r w:rsidR="00407190">
        <w:rPr>
          <w:rFonts w:eastAsia="Calibri" w:cs="Arial"/>
        </w:rPr>
        <w:t xml:space="preserve">due to both their age and greater likelihood of infirmity.  </w:t>
      </w:r>
      <w:r w:rsidR="00AE3F37">
        <w:rPr>
          <w:rFonts w:eastAsia="Calibri" w:cs="Arial"/>
        </w:rPr>
        <w:t xml:space="preserve">The most significant and generous </w:t>
      </w:r>
      <w:r w:rsidR="006957C0">
        <w:rPr>
          <w:rFonts w:eastAsia="Calibri" w:cs="Arial"/>
        </w:rPr>
        <w:t xml:space="preserve">social programs are part of the Social Security </w:t>
      </w:r>
      <w:r w:rsidR="004F05F9">
        <w:rPr>
          <w:rFonts w:eastAsia="Calibri" w:cs="Arial"/>
        </w:rPr>
        <w:t>system</w:t>
      </w:r>
      <w:r w:rsidR="006957C0">
        <w:rPr>
          <w:rFonts w:eastAsia="Calibri" w:cs="Arial"/>
        </w:rPr>
        <w:t xml:space="preserve">.  It should be kept in mind that this system encompasses </w:t>
      </w:r>
      <w:r w:rsidR="00D4169A">
        <w:rPr>
          <w:rFonts w:eastAsia="Calibri" w:cs="Arial"/>
        </w:rPr>
        <w:t xml:space="preserve">numerous programs and types of benefits, and that individuals can obtain Social Security benefits not only </w:t>
      </w:r>
      <w:r w:rsidR="00FC530F">
        <w:rPr>
          <w:rFonts w:eastAsia="Calibri" w:cs="Arial"/>
        </w:rPr>
        <w:t xml:space="preserve">via their own work history, but because they are spouses (or former spouses) of beneficiaries, </w:t>
      </w:r>
      <w:r w:rsidR="00834E8D">
        <w:rPr>
          <w:rFonts w:eastAsia="Calibri" w:cs="Arial"/>
        </w:rPr>
        <w:t xml:space="preserve">widows or widowers, or survivors of beneficiaries.  Therefore although the age of early retirement is </w:t>
      </w:r>
      <w:r w:rsidR="00235925">
        <w:rPr>
          <w:rFonts w:eastAsia="Calibri" w:cs="Arial"/>
        </w:rPr>
        <w:t>62, individuals well below that age – even young children – can obtain Social Security benefits</w:t>
      </w:r>
      <w:r w:rsidR="00F56302">
        <w:rPr>
          <w:rFonts w:eastAsia="Calibri" w:cs="Arial"/>
        </w:rPr>
        <w:t xml:space="preserve"> under qualifying circumstances</w:t>
      </w:r>
      <w:r w:rsidR="00235925">
        <w:rPr>
          <w:rFonts w:eastAsia="Calibri" w:cs="Arial"/>
        </w:rPr>
        <w:t xml:space="preserve">.  </w:t>
      </w:r>
      <w:r w:rsidR="002129E9">
        <w:rPr>
          <w:rFonts w:eastAsia="Calibri" w:cs="Arial"/>
        </w:rPr>
        <w:t xml:space="preserve">This explains why a small proportion of the 55 to 59 year-olds in the chart below </w:t>
      </w:r>
      <w:r w:rsidR="006C5AEA">
        <w:rPr>
          <w:rFonts w:eastAsia="Calibri" w:cs="Arial"/>
        </w:rPr>
        <w:t xml:space="preserve">receive Social Security income. </w:t>
      </w:r>
    </w:p>
    <w:p w14:paraId="04505550" w14:textId="77777777" w:rsidR="006C5AEA" w:rsidRDefault="006C5AEA" w:rsidP="0091635B">
      <w:pPr>
        <w:rPr>
          <w:rFonts w:eastAsia="Calibri" w:cs="Arial"/>
        </w:rPr>
      </w:pPr>
    </w:p>
    <w:p w14:paraId="2F7F7118" w14:textId="7354E43C" w:rsidR="000A6320" w:rsidRDefault="00291C18" w:rsidP="0091635B">
      <w:pPr>
        <w:rPr>
          <w:rFonts w:eastAsia="Calibri" w:cs="Arial"/>
        </w:rPr>
      </w:pPr>
      <w:r>
        <w:rPr>
          <w:rFonts w:eastAsia="Calibri" w:cs="Arial"/>
        </w:rPr>
        <w:t xml:space="preserve">Using the Census Bureau’s annual supplement to the Current Population Survey (CPS, the same survey used to report national income and poverty </w:t>
      </w:r>
      <w:r w:rsidR="000D29FF">
        <w:rPr>
          <w:rFonts w:eastAsia="Calibri" w:cs="Arial"/>
        </w:rPr>
        <w:t xml:space="preserve">statistics) allows a consistent examination of Social Security receipt over more than three decades.  As shown </w:t>
      </w:r>
      <w:r w:rsidR="00043D9D">
        <w:rPr>
          <w:rFonts w:eastAsia="Calibri" w:cs="Arial"/>
        </w:rPr>
        <w:t xml:space="preserve">below, for all individuals 60 and older, </w:t>
      </w:r>
      <w:r w:rsidR="00AB2311">
        <w:rPr>
          <w:rFonts w:eastAsia="Calibri" w:cs="Arial"/>
        </w:rPr>
        <w:t xml:space="preserve">receipt of </w:t>
      </w:r>
      <w:r w:rsidR="00081B1C">
        <w:rPr>
          <w:rFonts w:eastAsia="Calibri" w:cs="Arial"/>
        </w:rPr>
        <w:t>Social Security benefits tended to drop during the 1990s, and the de</w:t>
      </w:r>
      <w:r w:rsidR="00B91717">
        <w:rPr>
          <w:rFonts w:eastAsia="Calibri" w:cs="Arial"/>
        </w:rPr>
        <w:t>cline accelerated beginning in the early 2000s</w:t>
      </w:r>
      <w:r w:rsidR="00F13DFC">
        <w:rPr>
          <w:rFonts w:eastAsia="Calibri" w:cs="Arial"/>
        </w:rPr>
        <w:t xml:space="preserve">, especially among the 60-64 and 65-69 year-olds who were most affected by the </w:t>
      </w:r>
      <w:r w:rsidR="007008C2">
        <w:rPr>
          <w:rFonts w:eastAsia="Calibri" w:cs="Arial"/>
        </w:rPr>
        <w:t xml:space="preserve">gradual </w:t>
      </w:r>
      <w:r w:rsidR="00F13DFC">
        <w:rPr>
          <w:rFonts w:eastAsia="Calibri" w:cs="Arial"/>
        </w:rPr>
        <w:t xml:space="preserve">rise in the full retirement age from </w:t>
      </w:r>
      <w:r w:rsidR="007008C2">
        <w:rPr>
          <w:rFonts w:eastAsia="Calibri" w:cs="Arial"/>
        </w:rPr>
        <w:t>65 to 67</w:t>
      </w:r>
      <w:r w:rsidR="00B904D3">
        <w:rPr>
          <w:rFonts w:eastAsia="Calibri" w:cs="Arial"/>
        </w:rPr>
        <w:t xml:space="preserve"> (a process not yet completed).  </w:t>
      </w:r>
      <w:r w:rsidR="00FE3BFE">
        <w:rPr>
          <w:rFonts w:eastAsia="Calibri" w:cs="Arial"/>
        </w:rPr>
        <w:t>This suggests that raising the age of full retirement benefits has had and presumably will continue to have a major impact on</w:t>
      </w:r>
      <w:r w:rsidR="00624408">
        <w:rPr>
          <w:rFonts w:eastAsia="Calibri" w:cs="Arial"/>
        </w:rPr>
        <w:t xml:space="preserve"> employment rates among older individuals.  </w:t>
      </w:r>
      <w:r w:rsidR="002C5378">
        <w:rPr>
          <w:rFonts w:eastAsia="Calibri" w:cs="Arial"/>
        </w:rPr>
        <w:t xml:space="preserve">In fact, as </w:t>
      </w:r>
      <w:r w:rsidR="000F7F80">
        <w:rPr>
          <w:rFonts w:eastAsia="Calibri" w:cs="Arial"/>
        </w:rPr>
        <w:t xml:space="preserve">explained </w:t>
      </w:r>
      <w:r w:rsidR="00C551AA">
        <w:rPr>
          <w:rFonts w:eastAsia="Calibri" w:cs="Arial"/>
        </w:rPr>
        <w:t>in the next section, the higher full retirement age seems to have influenced employment rates among older individuals well before the</w:t>
      </w:r>
      <w:r w:rsidR="00C46FD6">
        <w:rPr>
          <w:rFonts w:eastAsia="Calibri" w:cs="Arial"/>
        </w:rPr>
        <w:t xml:space="preserve"> Old Age Insurance changes began to take effect.  </w:t>
      </w:r>
    </w:p>
    <w:p w14:paraId="5342F165" w14:textId="77777777" w:rsidR="004A45CA" w:rsidRDefault="004A45CA" w:rsidP="0091635B">
      <w:pPr>
        <w:rPr>
          <w:rFonts w:eastAsia="Calibri" w:cs="Arial"/>
        </w:rPr>
      </w:pPr>
    </w:p>
    <w:p w14:paraId="35D11C59" w14:textId="74BB98C1" w:rsidR="004A45CA" w:rsidRPr="003D3F7A" w:rsidRDefault="004A45CA" w:rsidP="0091635B">
      <w:pPr>
        <w:rPr>
          <w:rFonts w:eastAsia="Calibri" w:cs="Arial"/>
        </w:rPr>
      </w:pPr>
      <w:r>
        <w:rPr>
          <w:rFonts w:eastAsia="Calibri" w:cs="Arial"/>
          <w:noProof/>
        </w:rPr>
        <w:drawing>
          <wp:inline distT="0" distB="0" distL="0" distR="0" wp14:anchorId="5AE2D490" wp14:editId="4616D379">
            <wp:extent cx="6176010" cy="3956685"/>
            <wp:effectExtent l="0" t="0" r="0" b="5715"/>
            <wp:docPr id="21286248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76010" cy="3956685"/>
                    </a:xfrm>
                    <a:prstGeom prst="rect">
                      <a:avLst/>
                    </a:prstGeom>
                    <a:noFill/>
                  </pic:spPr>
                </pic:pic>
              </a:graphicData>
            </a:graphic>
          </wp:inline>
        </w:drawing>
      </w:r>
    </w:p>
    <w:p w14:paraId="67CD2F96" w14:textId="0B12EBDF" w:rsidR="001B6846" w:rsidRDefault="00624408">
      <w:pPr>
        <w:rPr>
          <w:rFonts w:eastAsia="Calibri" w:cs="Arial"/>
        </w:rPr>
      </w:pPr>
      <w:r>
        <w:rPr>
          <w:rFonts w:eastAsia="Calibri" w:cs="Arial"/>
        </w:rPr>
        <w:t xml:space="preserve">Source:  U.S. Census Bureau, </w:t>
      </w:r>
      <w:r w:rsidR="007539F1" w:rsidRPr="00F86670">
        <w:rPr>
          <w:rFonts w:eastAsia="Calibri" w:cs="Arial"/>
          <w:i/>
          <w:iCs/>
        </w:rPr>
        <w:t>Current Population Survey</w:t>
      </w:r>
      <w:r w:rsidR="007539F1">
        <w:rPr>
          <w:rFonts w:eastAsia="Calibri" w:cs="Arial"/>
        </w:rPr>
        <w:t xml:space="preserve"> (CPS), Annual Social and Economic Supplement </w:t>
      </w:r>
    </w:p>
    <w:p w14:paraId="7205AAC4" w14:textId="77777777" w:rsidR="003F0F4E" w:rsidRDefault="003F0F4E">
      <w:pPr>
        <w:rPr>
          <w:rFonts w:eastAsia="Calibri" w:cs="Arial"/>
        </w:rPr>
      </w:pPr>
    </w:p>
    <w:p w14:paraId="47949D98" w14:textId="30402AF0" w:rsidR="0051783B" w:rsidRDefault="0051783B" w:rsidP="0051783B">
      <w:pPr>
        <w:rPr>
          <w:rFonts w:eastAsia="Calibri" w:cs="Arial"/>
        </w:rPr>
      </w:pPr>
      <w:r w:rsidRPr="0051783B">
        <w:rPr>
          <w:rFonts w:eastAsia="Calibri" w:cs="Arial"/>
        </w:rPr>
        <w:t>Recipient trends for total Disability Insurance recipients who formerly worked, and for SSI blind and disabled recipients</w:t>
      </w:r>
      <w:r w:rsidR="00F37B71">
        <w:rPr>
          <w:rFonts w:eastAsia="Calibri" w:cs="Arial"/>
        </w:rPr>
        <w:t>, are</w:t>
      </w:r>
      <w:r w:rsidRPr="0051783B">
        <w:rPr>
          <w:rFonts w:eastAsia="Calibri" w:cs="Arial"/>
        </w:rPr>
        <w:t xml:space="preserve"> shown below.  During a relatively brief period in the first half of the 1990s, both programs served nearly the same number of persons with disabilities, although the Disability Insurance program has always served more persons with disabilities, and the gap significantly widened after the mid-1990s.  However, as shown, both programs peaked in about 2013/2014, and have significantly diminished since then.  </w:t>
      </w:r>
    </w:p>
    <w:p w14:paraId="52E21D53" w14:textId="77777777" w:rsidR="00F37B71" w:rsidRDefault="00F37B71" w:rsidP="0051783B">
      <w:pPr>
        <w:rPr>
          <w:rFonts w:eastAsia="Calibri" w:cs="Arial"/>
        </w:rPr>
      </w:pPr>
    </w:p>
    <w:p w14:paraId="5CAB2F1B" w14:textId="68BE660C" w:rsidR="00F37B71" w:rsidRPr="0051783B" w:rsidRDefault="00F37B71" w:rsidP="0051783B">
      <w:pPr>
        <w:rPr>
          <w:rFonts w:eastAsia="Calibri" w:cs="Arial"/>
        </w:rPr>
      </w:pPr>
      <w:r w:rsidRPr="00F37B71">
        <w:rPr>
          <w:rFonts w:eastAsia="Calibri" w:cs="Times New Roman"/>
          <w:noProof/>
        </w:rPr>
        <w:lastRenderedPageBreak/>
        <w:drawing>
          <wp:inline distT="0" distB="0" distL="0" distR="0" wp14:anchorId="6B5DD637" wp14:editId="4DCFEE1B">
            <wp:extent cx="6278252" cy="3633871"/>
            <wp:effectExtent l="0" t="0" r="8255" b="508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6300271" cy="3646615"/>
                    </a:xfrm>
                    <a:prstGeom prst="rect">
                      <a:avLst/>
                    </a:prstGeom>
                    <a:noFill/>
                    <a:ln>
                      <a:noFill/>
                    </a:ln>
                  </pic:spPr>
                </pic:pic>
              </a:graphicData>
            </a:graphic>
          </wp:inline>
        </w:drawing>
      </w:r>
    </w:p>
    <w:p w14:paraId="4DC06DD7" w14:textId="5E3388C5" w:rsidR="003F0F4E" w:rsidRDefault="00F85B89">
      <w:pPr>
        <w:rPr>
          <w:rFonts w:eastAsia="Calibri" w:cs="Arial"/>
        </w:rPr>
      </w:pPr>
      <w:r w:rsidRPr="00F85B89">
        <w:rPr>
          <w:rFonts w:eastAsia="Calibri" w:cs="Arial"/>
        </w:rPr>
        <w:t>Source:  U.S. Social Security Administration</w:t>
      </w:r>
    </w:p>
    <w:p w14:paraId="4194C31F" w14:textId="77777777" w:rsidR="00123FF8" w:rsidRDefault="00123FF8">
      <w:pPr>
        <w:rPr>
          <w:rFonts w:eastAsia="Calibri" w:cs="Arial"/>
        </w:rPr>
      </w:pPr>
    </w:p>
    <w:p w14:paraId="56270AD8" w14:textId="519947F6" w:rsidR="00123FF8" w:rsidRPr="003D3F7A" w:rsidRDefault="00123FF8">
      <w:pPr>
        <w:rPr>
          <w:rFonts w:eastAsia="Calibri" w:cs="Arial"/>
        </w:rPr>
      </w:pPr>
      <w:r>
        <w:rPr>
          <w:rFonts w:eastAsia="Calibri" w:cs="Arial"/>
        </w:rPr>
        <w:t xml:space="preserve">Both disability income support programs </w:t>
      </w:r>
      <w:r w:rsidR="001036DF">
        <w:rPr>
          <w:rFonts w:eastAsia="Calibri" w:cs="Arial"/>
        </w:rPr>
        <w:t>have tended to serve an older population over time</w:t>
      </w:r>
      <w:r w:rsidR="00FE2DA2">
        <w:rPr>
          <w:rFonts w:eastAsia="Calibri" w:cs="Arial"/>
        </w:rPr>
        <w:t xml:space="preserve">. </w:t>
      </w:r>
      <w:r w:rsidR="006E67A2">
        <w:rPr>
          <w:rFonts w:eastAsia="Calibri" w:cs="Arial"/>
        </w:rPr>
        <w:t xml:space="preserve"> This trend, combined with a rising number of beneficiaries, increased recipiency </w:t>
      </w:r>
      <w:r w:rsidR="00B12F7B">
        <w:rPr>
          <w:rFonts w:eastAsia="Calibri" w:cs="Arial"/>
        </w:rPr>
        <w:t xml:space="preserve">in the latter half of the 1990s </w:t>
      </w:r>
      <w:r w:rsidR="00AB4C34">
        <w:rPr>
          <w:rFonts w:eastAsia="Calibri" w:cs="Arial"/>
        </w:rPr>
        <w:t xml:space="preserve">through roughly </w:t>
      </w:r>
      <w:r w:rsidR="00541B70">
        <w:rPr>
          <w:rFonts w:eastAsia="Calibri" w:cs="Arial"/>
        </w:rPr>
        <w:t xml:space="preserve">2012.  However, thereafter recipiency rates </w:t>
      </w:r>
      <w:r w:rsidR="00AB4C34" w:rsidRPr="00AB4C34">
        <w:rPr>
          <w:rFonts w:eastAsia="Calibri" w:cs="Arial"/>
        </w:rPr>
        <w:t>decline</w:t>
      </w:r>
      <w:r w:rsidR="00541B70">
        <w:rPr>
          <w:rFonts w:eastAsia="Calibri" w:cs="Arial"/>
        </w:rPr>
        <w:t>d</w:t>
      </w:r>
      <w:r w:rsidR="00AB4C34" w:rsidRPr="00AB4C34">
        <w:rPr>
          <w:rFonts w:eastAsia="Calibri" w:cs="Arial"/>
        </w:rPr>
        <w:t xml:space="preserve"> for all age groups younger than 65, beginning somewhere between 2013 and 2018, depending upon the age bracket.  The increase among those 65 and 66 occurred for the obvious reason of raising the full retirement age from 65 to 67 (over the 2003 to 2027 timeframe):  prior to 2003, such individuals weren’t eligible for Disability Insurance, and would instead have been covered by Old Age Insurance.  </w:t>
      </w:r>
    </w:p>
    <w:p w14:paraId="656E2E0C" w14:textId="77777777" w:rsidR="0087410B" w:rsidRPr="003D3F7A" w:rsidRDefault="0087410B">
      <w:pPr>
        <w:rPr>
          <w:rFonts w:cs="Arial"/>
        </w:rPr>
      </w:pPr>
    </w:p>
    <w:p w14:paraId="6D09850D" w14:textId="225411BA" w:rsidR="0087410B" w:rsidRPr="003D3F7A" w:rsidRDefault="00B50ABD">
      <w:pPr>
        <w:rPr>
          <w:rFonts w:cs="Arial"/>
        </w:rPr>
      </w:pPr>
      <w:r w:rsidRPr="00B50ABD">
        <w:rPr>
          <w:rFonts w:eastAsia="Calibri" w:cs="Times New Roman"/>
          <w:noProof/>
        </w:rPr>
        <w:drawing>
          <wp:inline distT="0" distB="0" distL="0" distR="0" wp14:anchorId="0E38CA51" wp14:editId="461A1E7E">
            <wp:extent cx="5285872" cy="3337089"/>
            <wp:effectExtent l="0" t="0" r="0" b="0"/>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5315766" cy="3355962"/>
                    </a:xfrm>
                    <a:prstGeom prst="rect">
                      <a:avLst/>
                    </a:prstGeom>
                    <a:noFill/>
                    <a:ln>
                      <a:noFill/>
                    </a:ln>
                  </pic:spPr>
                </pic:pic>
              </a:graphicData>
            </a:graphic>
          </wp:inline>
        </w:drawing>
      </w:r>
    </w:p>
    <w:p w14:paraId="3D7BF0F8" w14:textId="03EB1262" w:rsidR="00781935" w:rsidRPr="003D3F7A" w:rsidRDefault="00BB6405">
      <w:pPr>
        <w:rPr>
          <w:rFonts w:cs="Arial"/>
        </w:rPr>
      </w:pPr>
      <w:r w:rsidRPr="00BB6405">
        <w:rPr>
          <w:rFonts w:cs="Arial"/>
        </w:rPr>
        <w:t xml:space="preserve">Sources:  Social Security Administration administrative data, and Census Bureau </w:t>
      </w:r>
      <w:r w:rsidRPr="00F86670">
        <w:rPr>
          <w:rFonts w:cs="Arial"/>
          <w:i/>
          <w:iCs/>
        </w:rPr>
        <w:t>Current Population Survey</w:t>
      </w:r>
      <w:r w:rsidRPr="00BB6405">
        <w:rPr>
          <w:rFonts w:cs="Arial"/>
        </w:rPr>
        <w:t xml:space="preserve"> (CPS) Annual Social and Economic Supplement population data</w:t>
      </w:r>
      <w:r>
        <w:rPr>
          <w:rFonts w:cs="Arial"/>
        </w:rPr>
        <w:t xml:space="preserve"> </w:t>
      </w:r>
    </w:p>
    <w:p w14:paraId="14940E6B" w14:textId="5B21C0C2" w:rsidR="00E32EDF" w:rsidRPr="00E32EDF" w:rsidRDefault="00E32EDF" w:rsidP="00E32EDF">
      <w:pPr>
        <w:rPr>
          <w:rFonts w:cs="Arial"/>
        </w:rPr>
      </w:pPr>
      <w:r w:rsidRPr="00E32EDF">
        <w:rPr>
          <w:rFonts w:cs="Arial"/>
        </w:rPr>
        <w:lastRenderedPageBreak/>
        <w:t>The available recipiency rates (</w:t>
      </w:r>
      <w:r w:rsidR="00F86670">
        <w:rPr>
          <w:rFonts w:cs="Arial"/>
        </w:rPr>
        <w:t xml:space="preserve">covering a </w:t>
      </w:r>
      <w:r w:rsidR="00E9380B">
        <w:rPr>
          <w:rFonts w:cs="Arial"/>
        </w:rPr>
        <w:t>shorter</w:t>
      </w:r>
      <w:r w:rsidR="00F86670">
        <w:rPr>
          <w:rFonts w:cs="Arial"/>
        </w:rPr>
        <w:t xml:space="preserve"> </w:t>
      </w:r>
      <w:r w:rsidR="008E2EC2">
        <w:rPr>
          <w:rFonts w:cs="Arial"/>
        </w:rPr>
        <w:t>timeframe</w:t>
      </w:r>
      <w:r w:rsidRPr="00E32EDF">
        <w:rPr>
          <w:rFonts w:cs="Arial"/>
        </w:rPr>
        <w:t xml:space="preserve">) for SSI appear in the chart below.  They show very little change since the early 2000s, and no consistent trend over time, although recipiency rates have recently declined for 60 to 64 year-olds, and have leveled off for beneficiaries in their fifties.  </w:t>
      </w:r>
    </w:p>
    <w:p w14:paraId="7BC5B0B8" w14:textId="77777777" w:rsidR="00781935" w:rsidRDefault="00781935">
      <w:pPr>
        <w:rPr>
          <w:rFonts w:cs="Arial"/>
        </w:rPr>
      </w:pPr>
    </w:p>
    <w:p w14:paraId="75A24097" w14:textId="32E654D8" w:rsidR="00E32EDF" w:rsidRPr="003D3F7A" w:rsidRDefault="00F86670">
      <w:pPr>
        <w:rPr>
          <w:rFonts w:cs="Arial"/>
        </w:rPr>
      </w:pPr>
      <w:r w:rsidRPr="00F86670">
        <w:rPr>
          <w:rFonts w:eastAsia="Calibri" w:cs="Times New Roman"/>
          <w:noProof/>
        </w:rPr>
        <w:drawing>
          <wp:inline distT="0" distB="0" distL="0" distR="0" wp14:anchorId="4951B68A" wp14:editId="6817980A">
            <wp:extent cx="5530568" cy="3610466"/>
            <wp:effectExtent l="0" t="0" r="0" b="9525"/>
            <wp:docPr id="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5538289" cy="3615507"/>
                    </a:xfrm>
                    <a:prstGeom prst="rect">
                      <a:avLst/>
                    </a:prstGeom>
                    <a:noFill/>
                    <a:ln>
                      <a:noFill/>
                    </a:ln>
                  </pic:spPr>
                </pic:pic>
              </a:graphicData>
            </a:graphic>
          </wp:inline>
        </w:drawing>
      </w:r>
    </w:p>
    <w:p w14:paraId="7F96A4E3" w14:textId="77777777" w:rsidR="00F86670" w:rsidRPr="003D3F7A" w:rsidRDefault="00F86670" w:rsidP="00F86670">
      <w:pPr>
        <w:rPr>
          <w:rFonts w:cs="Arial"/>
        </w:rPr>
      </w:pPr>
      <w:r w:rsidRPr="00BB6405">
        <w:rPr>
          <w:rFonts w:cs="Arial"/>
        </w:rPr>
        <w:t xml:space="preserve">Sources:  Social Security Administration administrative data, and Census Bureau </w:t>
      </w:r>
      <w:r w:rsidRPr="00F86670">
        <w:rPr>
          <w:rFonts w:cs="Arial"/>
          <w:i/>
          <w:iCs/>
        </w:rPr>
        <w:t>Current Population Survey</w:t>
      </w:r>
      <w:r w:rsidRPr="00BB6405">
        <w:rPr>
          <w:rFonts w:cs="Arial"/>
        </w:rPr>
        <w:t xml:space="preserve"> (CPS) Annual Social and Economic Supplement population data</w:t>
      </w:r>
      <w:r>
        <w:rPr>
          <w:rFonts w:cs="Arial"/>
        </w:rPr>
        <w:t xml:space="preserve"> </w:t>
      </w:r>
    </w:p>
    <w:p w14:paraId="71A53F95" w14:textId="77777777" w:rsidR="00781935" w:rsidRPr="003D3F7A" w:rsidRDefault="00781935">
      <w:pPr>
        <w:rPr>
          <w:rFonts w:cs="Arial"/>
        </w:rPr>
      </w:pPr>
    </w:p>
    <w:p w14:paraId="6D4750A0" w14:textId="0DC8DF2E" w:rsidR="00781935" w:rsidRPr="003D3F7A" w:rsidRDefault="002A5721">
      <w:pPr>
        <w:rPr>
          <w:rFonts w:cs="Arial"/>
        </w:rPr>
      </w:pPr>
      <w:r w:rsidRPr="002A5721">
        <w:rPr>
          <w:rFonts w:cs="Arial"/>
        </w:rPr>
        <w:t>To summarize, both of the major income support programs for non-elderly persons with disabilities (DI and SSI) peaked in their number of recipients about a decade ago, and neither are received by more than a relatively small share of older Americans younger than 65/67.  Thus it is unlikely that the disability income support programs have been an important factor among older individuals in creating disincentives for employment, and whatever disincentives existed must now be waning.  The recipiency rate among older individuals with disabilities would of course be higher, although it is well known that employment rates for persons with disabilities have historically been so low that disability income support programs cannot be the primary cause of this pattern.</w:t>
      </w:r>
    </w:p>
    <w:p w14:paraId="15E61EF5" w14:textId="77777777" w:rsidR="00781935" w:rsidRPr="003D3F7A" w:rsidRDefault="00781935">
      <w:pPr>
        <w:rPr>
          <w:rFonts w:cs="Arial"/>
        </w:rPr>
      </w:pPr>
    </w:p>
    <w:p w14:paraId="4BB058B0" w14:textId="6D36FB1D" w:rsidR="00781935" w:rsidRDefault="005E251E">
      <w:pPr>
        <w:rPr>
          <w:rFonts w:cs="Arial"/>
        </w:rPr>
      </w:pPr>
      <w:r>
        <w:rPr>
          <w:rFonts w:cs="Arial"/>
        </w:rPr>
        <w:t xml:space="preserve">A different Census Bureau survey (the </w:t>
      </w:r>
      <w:r w:rsidRPr="00CC0C31">
        <w:rPr>
          <w:rFonts w:cs="Arial"/>
          <w:i/>
          <w:iCs/>
        </w:rPr>
        <w:t>Survey of Income and Program Participation</w:t>
      </w:r>
      <w:r>
        <w:rPr>
          <w:rFonts w:cs="Arial"/>
        </w:rPr>
        <w:t xml:space="preserve">, or SIPP) </w:t>
      </w:r>
      <w:r w:rsidR="00896FF2">
        <w:rPr>
          <w:rFonts w:cs="Arial"/>
        </w:rPr>
        <w:t xml:space="preserve">allows us to examine assistance from several other major government programs, including </w:t>
      </w:r>
      <w:r w:rsidR="00D978B0">
        <w:rPr>
          <w:rFonts w:cs="Arial"/>
        </w:rPr>
        <w:t xml:space="preserve">the Supplemental Nutrition Assistance Program (SNAP, formerly called Food Stamps) and the two major governmental health insurance programs, Medicare and Medicaid.  </w:t>
      </w:r>
      <w:r w:rsidR="00F764BB">
        <w:rPr>
          <w:rFonts w:cs="Arial"/>
        </w:rPr>
        <w:t xml:space="preserve">SNAP provides </w:t>
      </w:r>
      <w:r w:rsidR="00791021">
        <w:rPr>
          <w:rFonts w:cs="Arial"/>
        </w:rPr>
        <w:t xml:space="preserve">quasi-income, although certainly not in amounts that could support </w:t>
      </w:r>
      <w:r w:rsidR="0060333F">
        <w:rPr>
          <w:rFonts w:cs="Arial"/>
        </w:rPr>
        <w:t xml:space="preserve">retirement.  Moreover, older individuals are less likely to receive SNAP than </w:t>
      </w:r>
      <w:r w:rsidR="00441DB2">
        <w:rPr>
          <w:rFonts w:cs="Arial"/>
        </w:rPr>
        <w:t xml:space="preserve">younger adults, and recipiency rates among older individuals are too low to have likely influenced </w:t>
      </w:r>
      <w:r w:rsidR="00DB0536">
        <w:rPr>
          <w:rFonts w:cs="Arial"/>
        </w:rPr>
        <w:t xml:space="preserve">employment behavior (nor is there any consistent trend in recent years).  </w:t>
      </w:r>
    </w:p>
    <w:p w14:paraId="1F3A4362" w14:textId="77777777" w:rsidR="00CC0C31" w:rsidRDefault="00CC0C31">
      <w:pPr>
        <w:rPr>
          <w:rFonts w:cs="Arial"/>
        </w:rPr>
      </w:pPr>
    </w:p>
    <w:p w14:paraId="0D76BA13" w14:textId="75893D3D" w:rsidR="00CC0C31" w:rsidRDefault="001C308A">
      <w:pPr>
        <w:rPr>
          <w:rFonts w:cs="Arial"/>
        </w:rPr>
      </w:pPr>
      <w:r>
        <w:rPr>
          <w:rFonts w:cs="Arial"/>
        </w:rPr>
        <w:t>The age of eligibility for Medicare is 65 (unaffected by the increase in the full retirement benefit age</w:t>
      </w:r>
      <w:r w:rsidR="004E611E">
        <w:rPr>
          <w:rFonts w:cs="Arial"/>
        </w:rPr>
        <w:t xml:space="preserve">).  </w:t>
      </w:r>
      <w:r w:rsidR="00323A1B">
        <w:rPr>
          <w:rFonts w:cs="Arial"/>
        </w:rPr>
        <w:t xml:space="preserve">Recipiency rates for Medicaid have significantly </w:t>
      </w:r>
      <w:r w:rsidR="000044BF">
        <w:rPr>
          <w:rFonts w:cs="Arial"/>
        </w:rPr>
        <w:t xml:space="preserve">increased among older individuals younger than 65, as shown in the first panel </w:t>
      </w:r>
      <w:r w:rsidR="00680898">
        <w:rPr>
          <w:rFonts w:cs="Arial"/>
        </w:rPr>
        <w:t xml:space="preserve">below. </w:t>
      </w:r>
    </w:p>
    <w:p w14:paraId="13333B1D" w14:textId="5981CAC8" w:rsidR="00781935" w:rsidRPr="003D3F7A" w:rsidRDefault="00670E71">
      <w:pPr>
        <w:rPr>
          <w:rFonts w:cs="Arial"/>
        </w:rPr>
      </w:pPr>
      <w:r w:rsidRPr="00670E71">
        <w:rPr>
          <w:noProof/>
        </w:rPr>
        <w:lastRenderedPageBreak/>
        <w:drawing>
          <wp:inline distT="0" distB="0" distL="0" distR="0" wp14:anchorId="4F88D812" wp14:editId="6E0539A8">
            <wp:extent cx="5646420" cy="5260340"/>
            <wp:effectExtent l="0" t="0" r="0" b="0"/>
            <wp:docPr id="22310536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46420" cy="5260340"/>
                    </a:xfrm>
                    <a:prstGeom prst="rect">
                      <a:avLst/>
                    </a:prstGeom>
                    <a:noFill/>
                    <a:ln>
                      <a:noFill/>
                    </a:ln>
                  </pic:spPr>
                </pic:pic>
              </a:graphicData>
            </a:graphic>
          </wp:inline>
        </w:drawing>
      </w:r>
    </w:p>
    <w:p w14:paraId="61DA9EC1" w14:textId="32185669" w:rsidR="00781935" w:rsidRDefault="00680898">
      <w:pPr>
        <w:rPr>
          <w:rFonts w:cs="Arial"/>
        </w:rPr>
      </w:pPr>
      <w:r>
        <w:rPr>
          <w:rFonts w:cs="Arial"/>
        </w:rPr>
        <w:t xml:space="preserve">Source:  U.S. Census Bureau, </w:t>
      </w:r>
      <w:r w:rsidRPr="00680898">
        <w:rPr>
          <w:rFonts w:cs="Arial"/>
          <w:i/>
          <w:iCs/>
        </w:rPr>
        <w:t>Survey of Income and Program Participation</w:t>
      </w:r>
      <w:r>
        <w:rPr>
          <w:rFonts w:cs="Arial"/>
        </w:rPr>
        <w:t xml:space="preserve"> </w:t>
      </w:r>
    </w:p>
    <w:p w14:paraId="425AFCA5" w14:textId="77777777" w:rsidR="000F3981" w:rsidRDefault="000F3981">
      <w:pPr>
        <w:rPr>
          <w:rFonts w:cs="Arial"/>
        </w:rPr>
      </w:pPr>
    </w:p>
    <w:p w14:paraId="06F62226" w14:textId="77777777" w:rsidR="005B1DD0" w:rsidRDefault="005B1DD0" w:rsidP="000F51FE">
      <w:pPr>
        <w:rPr>
          <w:rFonts w:cs="Arial"/>
          <w:b/>
          <w:bCs/>
          <w:color w:val="008EC0"/>
        </w:rPr>
      </w:pPr>
    </w:p>
    <w:p w14:paraId="306C2050" w14:textId="51961D7D" w:rsidR="000F51FE" w:rsidRPr="003D3F7A" w:rsidRDefault="000F51FE" w:rsidP="000F51FE">
      <w:pPr>
        <w:rPr>
          <w:rFonts w:cs="Arial"/>
          <w:color w:val="008EC0"/>
        </w:rPr>
      </w:pPr>
      <w:r>
        <w:rPr>
          <w:rFonts w:cs="Arial"/>
          <w:b/>
          <w:bCs/>
          <w:color w:val="008EC0"/>
        </w:rPr>
        <w:t xml:space="preserve">EMPLOYMENT RATE </w:t>
      </w:r>
      <w:r w:rsidRPr="003D3F7A">
        <w:rPr>
          <w:rFonts w:cs="Arial"/>
          <w:b/>
          <w:bCs/>
          <w:color w:val="008EC0"/>
        </w:rPr>
        <w:t>LONG-TERM TRENDS</w:t>
      </w:r>
    </w:p>
    <w:p w14:paraId="7AFCD3BB" w14:textId="77777777" w:rsidR="00781935" w:rsidRPr="003D3F7A" w:rsidRDefault="00781935">
      <w:pPr>
        <w:rPr>
          <w:rFonts w:cs="Arial"/>
        </w:rPr>
      </w:pPr>
    </w:p>
    <w:p w14:paraId="0E64F2C8" w14:textId="467C7289" w:rsidR="00E77FE7" w:rsidRDefault="00851FB5">
      <w:pPr>
        <w:rPr>
          <w:rFonts w:cs="Arial"/>
        </w:rPr>
      </w:pPr>
      <w:r>
        <w:rPr>
          <w:rFonts w:cs="Arial"/>
        </w:rPr>
        <w:t xml:space="preserve">Using decennial census and Current Population Survey </w:t>
      </w:r>
      <w:r w:rsidR="0046642B">
        <w:rPr>
          <w:rFonts w:cs="Arial"/>
        </w:rPr>
        <w:t>data, employment-to-population ratios (</w:t>
      </w:r>
      <w:r w:rsidR="00D47D77">
        <w:rPr>
          <w:rFonts w:cs="Arial"/>
        </w:rPr>
        <w:t xml:space="preserve">employment rates, using shorthand) can be tracked </w:t>
      </w:r>
      <w:r w:rsidR="003969C5">
        <w:rPr>
          <w:rFonts w:cs="Arial"/>
        </w:rPr>
        <w:t xml:space="preserve">over about a century and three quarters.  </w:t>
      </w:r>
      <w:r w:rsidR="006B1E1A">
        <w:rPr>
          <w:rFonts w:cs="Arial"/>
        </w:rPr>
        <w:t xml:space="preserve">This section summarizes the </w:t>
      </w:r>
      <w:r w:rsidR="00D66859">
        <w:rPr>
          <w:rFonts w:cs="Arial"/>
        </w:rPr>
        <w:t xml:space="preserve">changes, and incorporates the factors described </w:t>
      </w:r>
      <w:r w:rsidR="00E77FE7">
        <w:rPr>
          <w:rFonts w:cs="Arial"/>
        </w:rPr>
        <w:t xml:space="preserve">above and others to explain trends and potential future implications.  </w:t>
      </w:r>
      <w:r w:rsidR="004B0A0A">
        <w:rPr>
          <w:rFonts w:cs="Arial"/>
        </w:rPr>
        <w:t xml:space="preserve">The final section below compares U.S. to international </w:t>
      </w:r>
      <w:r w:rsidR="00D24D19">
        <w:rPr>
          <w:rFonts w:cs="Arial"/>
        </w:rPr>
        <w:t xml:space="preserve">trends, using countries that are similar to </w:t>
      </w:r>
      <w:r w:rsidR="003755B3">
        <w:rPr>
          <w:rFonts w:cs="Arial"/>
        </w:rPr>
        <w:t xml:space="preserve">America and selected others tracked by the Organisation for Economic Co-operation and Development (OECD) </w:t>
      </w:r>
      <w:r w:rsidR="00616582">
        <w:rPr>
          <w:rFonts w:cs="Arial"/>
        </w:rPr>
        <w:t xml:space="preserve">or the </w:t>
      </w:r>
      <w:r w:rsidR="00154166">
        <w:rPr>
          <w:rFonts w:cs="Arial"/>
        </w:rPr>
        <w:t xml:space="preserve">European Union (via EuroStat).  </w:t>
      </w:r>
    </w:p>
    <w:p w14:paraId="30B5EBA5" w14:textId="77777777" w:rsidR="00E77FE7" w:rsidRDefault="00E77FE7">
      <w:pPr>
        <w:rPr>
          <w:rFonts w:cs="Arial"/>
        </w:rPr>
      </w:pPr>
    </w:p>
    <w:p w14:paraId="3556C730" w14:textId="64CD1F98" w:rsidR="00781935" w:rsidRDefault="0046642B">
      <w:pPr>
        <w:rPr>
          <w:rFonts w:cs="Arial"/>
        </w:rPr>
      </w:pPr>
      <w:r>
        <w:rPr>
          <w:rFonts w:cs="Arial"/>
        </w:rPr>
        <w:t xml:space="preserve"> </w:t>
      </w:r>
      <w:r w:rsidR="00187B66">
        <w:rPr>
          <w:rFonts w:cs="Arial"/>
          <w:b/>
          <w:bCs/>
        </w:rPr>
        <w:t>Work among prime-age individuals.</w:t>
      </w:r>
      <w:r w:rsidR="00187B66">
        <w:rPr>
          <w:rFonts w:cs="Arial"/>
        </w:rPr>
        <w:t xml:space="preserve">  </w:t>
      </w:r>
      <w:r w:rsidR="004F7EA1">
        <w:rPr>
          <w:rFonts w:cs="Arial"/>
        </w:rPr>
        <w:t xml:space="preserve">We first describe work patterns </w:t>
      </w:r>
      <w:r w:rsidR="001B381F">
        <w:rPr>
          <w:rFonts w:cs="Arial"/>
        </w:rPr>
        <w:t xml:space="preserve">for </w:t>
      </w:r>
      <w:r w:rsidR="004F7EA1">
        <w:rPr>
          <w:rFonts w:cs="Arial"/>
        </w:rPr>
        <w:t xml:space="preserve">younger </w:t>
      </w:r>
      <w:r w:rsidR="001B381F">
        <w:rPr>
          <w:rFonts w:cs="Arial"/>
        </w:rPr>
        <w:t xml:space="preserve">Americans, which enhances our understanding of labor market behavior among </w:t>
      </w:r>
      <w:r w:rsidR="004F7EA1">
        <w:rPr>
          <w:rFonts w:cs="Arial"/>
        </w:rPr>
        <w:t>older Americans</w:t>
      </w:r>
      <w:r w:rsidR="001B381F">
        <w:rPr>
          <w:rFonts w:cs="Arial"/>
        </w:rPr>
        <w:t xml:space="preserve">.  </w:t>
      </w:r>
      <w:r w:rsidR="004722E6">
        <w:rPr>
          <w:rFonts w:cs="Arial"/>
        </w:rPr>
        <w:t xml:space="preserve">By age 24 most individuals have completed their </w:t>
      </w:r>
      <w:r w:rsidR="00A26829">
        <w:rPr>
          <w:rFonts w:cs="Arial"/>
        </w:rPr>
        <w:t xml:space="preserve">schooling, and therefore the 25 to 54 year-old age group is commonly used to </w:t>
      </w:r>
      <w:r w:rsidR="00D12B6E">
        <w:rPr>
          <w:rFonts w:cs="Arial"/>
        </w:rPr>
        <w:t xml:space="preserve">track patterns among what are usually referred to as the prime employment </w:t>
      </w:r>
      <w:r w:rsidR="008941C6">
        <w:rPr>
          <w:rFonts w:cs="Arial"/>
        </w:rPr>
        <w:t xml:space="preserve">years.  </w:t>
      </w:r>
      <w:r w:rsidR="000B18A7">
        <w:rPr>
          <w:rFonts w:cs="Arial"/>
        </w:rPr>
        <w:t xml:space="preserve">The </w:t>
      </w:r>
      <w:r w:rsidR="00BC6BA4">
        <w:rPr>
          <w:rFonts w:cs="Arial"/>
        </w:rPr>
        <w:t xml:space="preserve">major change over time has been increased paid employment among </w:t>
      </w:r>
      <w:r w:rsidR="006139DE">
        <w:rPr>
          <w:rFonts w:cs="Arial"/>
        </w:rPr>
        <w:t xml:space="preserve">women, a historical </w:t>
      </w:r>
      <w:r w:rsidR="00D32FCD">
        <w:rPr>
          <w:rFonts w:cs="Arial"/>
        </w:rPr>
        <w:t>convergence</w:t>
      </w:r>
      <w:r w:rsidR="006139DE">
        <w:rPr>
          <w:rFonts w:cs="Arial"/>
        </w:rPr>
        <w:t xml:space="preserve"> </w:t>
      </w:r>
      <w:r w:rsidR="00421130">
        <w:rPr>
          <w:rFonts w:cs="Arial"/>
        </w:rPr>
        <w:t xml:space="preserve">with men </w:t>
      </w:r>
      <w:r w:rsidR="006139DE">
        <w:rPr>
          <w:rFonts w:cs="Arial"/>
        </w:rPr>
        <w:t xml:space="preserve">which </w:t>
      </w:r>
      <w:r w:rsidR="00533BA0">
        <w:rPr>
          <w:rFonts w:cs="Arial"/>
        </w:rPr>
        <w:t>reached its current status</w:t>
      </w:r>
      <w:r w:rsidR="006139DE">
        <w:rPr>
          <w:rFonts w:cs="Arial"/>
        </w:rPr>
        <w:t xml:space="preserve"> by about 2000</w:t>
      </w:r>
      <w:r w:rsidR="00682503">
        <w:rPr>
          <w:rFonts w:cs="Arial"/>
        </w:rPr>
        <w:t>, as shown in the chart below</w:t>
      </w:r>
      <w:r w:rsidR="00533BA0">
        <w:rPr>
          <w:rFonts w:cs="Arial"/>
        </w:rPr>
        <w:t xml:space="preserve">.  </w:t>
      </w:r>
      <w:r w:rsidR="003624C2">
        <w:rPr>
          <w:rFonts w:cs="Arial"/>
        </w:rPr>
        <w:t xml:space="preserve">Peak employment rates for this age group slightly exceeded 80 percent in 2000, and again in </w:t>
      </w:r>
      <w:r w:rsidR="0058347A">
        <w:rPr>
          <w:rFonts w:cs="Arial"/>
        </w:rPr>
        <w:t xml:space="preserve">2023.  In comparison, </w:t>
      </w:r>
      <w:r w:rsidR="009077FA">
        <w:rPr>
          <w:rFonts w:cs="Arial"/>
        </w:rPr>
        <w:t xml:space="preserve">the historical peak for </w:t>
      </w:r>
      <w:r w:rsidR="00E66E29">
        <w:rPr>
          <w:rFonts w:cs="Arial"/>
        </w:rPr>
        <w:t xml:space="preserve">55 to 59 year-olds was about </w:t>
      </w:r>
      <w:r w:rsidR="001343E0">
        <w:rPr>
          <w:rFonts w:cs="Arial"/>
        </w:rPr>
        <w:t xml:space="preserve">7 percentage points lower, at 71.9 percent in </w:t>
      </w:r>
      <w:r w:rsidR="003C7AF9">
        <w:rPr>
          <w:rFonts w:cs="Arial"/>
        </w:rPr>
        <w:t xml:space="preserve">2023, falling </w:t>
      </w:r>
      <w:r w:rsidR="00CB793D">
        <w:rPr>
          <w:rFonts w:cs="Arial"/>
        </w:rPr>
        <w:t xml:space="preserve">much </w:t>
      </w:r>
      <w:r w:rsidR="003C7AF9">
        <w:rPr>
          <w:rFonts w:cs="Arial"/>
        </w:rPr>
        <w:t xml:space="preserve">further to 56.7 percent </w:t>
      </w:r>
      <w:r w:rsidR="003B63CA">
        <w:rPr>
          <w:rFonts w:cs="Arial"/>
        </w:rPr>
        <w:t xml:space="preserve">for 60 to 64 year-olds </w:t>
      </w:r>
      <w:r w:rsidR="003C7AF9">
        <w:rPr>
          <w:rFonts w:cs="Arial"/>
        </w:rPr>
        <w:t xml:space="preserve">in 2023 </w:t>
      </w:r>
      <w:r w:rsidR="003B63CA">
        <w:rPr>
          <w:rFonts w:cs="Arial"/>
        </w:rPr>
        <w:t xml:space="preserve">(also a historic peak).  </w:t>
      </w:r>
      <w:r w:rsidR="00047991">
        <w:rPr>
          <w:rFonts w:cs="Arial"/>
        </w:rPr>
        <w:t xml:space="preserve">Unless </w:t>
      </w:r>
      <w:r w:rsidR="00CD3296">
        <w:rPr>
          <w:rFonts w:cs="Arial"/>
        </w:rPr>
        <w:t xml:space="preserve">coronavirus resurges, employment rates </w:t>
      </w:r>
      <w:r w:rsidR="00F7477B">
        <w:rPr>
          <w:rFonts w:cs="Arial"/>
        </w:rPr>
        <w:t>among older individuals ar</w:t>
      </w:r>
      <w:r w:rsidR="009705E6">
        <w:rPr>
          <w:rFonts w:cs="Arial"/>
        </w:rPr>
        <w:t xml:space="preserve">e likely to continue to rise, but are unlikely to match rates for </w:t>
      </w:r>
      <w:r w:rsidR="00682503">
        <w:rPr>
          <w:rFonts w:cs="Arial"/>
        </w:rPr>
        <w:t>prime-age individuals.</w:t>
      </w:r>
      <w:r w:rsidR="0051417F">
        <w:rPr>
          <w:rFonts w:cs="Arial"/>
        </w:rPr>
        <w:t xml:space="preserve"> </w:t>
      </w:r>
    </w:p>
    <w:p w14:paraId="7707C2EB" w14:textId="77777777" w:rsidR="0051417F" w:rsidRDefault="0051417F">
      <w:pPr>
        <w:rPr>
          <w:rFonts w:cs="Arial"/>
        </w:rPr>
      </w:pPr>
    </w:p>
    <w:p w14:paraId="1210BB7E" w14:textId="0A2075D0" w:rsidR="0051417F" w:rsidRPr="00187B66" w:rsidRDefault="0051417F">
      <w:pPr>
        <w:rPr>
          <w:rFonts w:cs="Arial"/>
        </w:rPr>
      </w:pPr>
      <w:r>
        <w:rPr>
          <w:rFonts w:cs="Arial"/>
        </w:rPr>
        <w:t xml:space="preserve">As </w:t>
      </w:r>
      <w:r w:rsidR="0059795C">
        <w:rPr>
          <w:rFonts w:cs="Arial"/>
        </w:rPr>
        <w:t xml:space="preserve">discussed in the final section below, U.S. employment rates for prime working-age individuals are </w:t>
      </w:r>
      <w:r w:rsidR="006A20AF">
        <w:rPr>
          <w:rFonts w:cs="Arial"/>
        </w:rPr>
        <w:t xml:space="preserve">now below those of many other </w:t>
      </w:r>
      <w:r w:rsidR="000A2918">
        <w:rPr>
          <w:rFonts w:cs="Arial"/>
        </w:rPr>
        <w:t xml:space="preserve">countries, in contrast to the pre-eminent position of the U.S. circa 2000.  </w:t>
      </w:r>
    </w:p>
    <w:p w14:paraId="56FD48BB" w14:textId="77777777" w:rsidR="00781935" w:rsidRPr="003D3F7A" w:rsidRDefault="00781935">
      <w:pPr>
        <w:rPr>
          <w:rFonts w:cs="Arial"/>
        </w:rPr>
      </w:pPr>
    </w:p>
    <w:p w14:paraId="6B59E145" w14:textId="77777777" w:rsidR="00937AEC" w:rsidRPr="003D3F7A" w:rsidRDefault="00937AEC" w:rsidP="00937AEC">
      <w:pPr>
        <w:rPr>
          <w:rFonts w:eastAsia="Calibri" w:cs="Arial"/>
        </w:rPr>
      </w:pPr>
      <w:r w:rsidRPr="003D3F7A">
        <w:rPr>
          <w:rFonts w:eastAsia="Calibri" w:cs="Arial"/>
          <w:noProof/>
        </w:rPr>
        <w:drawing>
          <wp:inline distT="0" distB="0" distL="0" distR="0" wp14:anchorId="7B240617" wp14:editId="300A8AE8">
            <wp:extent cx="6943725" cy="3932555"/>
            <wp:effectExtent l="0" t="0" r="9525" b="0"/>
            <wp:docPr id="891652735"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652735" name="Picture 1" descr="A picture containing diagram&#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943725" cy="3932555"/>
                    </a:xfrm>
                    <a:prstGeom prst="rect">
                      <a:avLst/>
                    </a:prstGeom>
                    <a:noFill/>
                  </pic:spPr>
                </pic:pic>
              </a:graphicData>
            </a:graphic>
          </wp:inline>
        </w:drawing>
      </w:r>
    </w:p>
    <w:p w14:paraId="7223F193" w14:textId="5C902E12" w:rsidR="00937AEC" w:rsidRPr="003D3F7A" w:rsidRDefault="00937AEC" w:rsidP="00937AEC">
      <w:pPr>
        <w:rPr>
          <w:rFonts w:eastAsia="Calibri" w:cs="Arial"/>
        </w:rPr>
      </w:pPr>
      <w:r w:rsidRPr="003D3F7A">
        <w:rPr>
          <w:rFonts w:eastAsia="Calibri" w:cs="Arial"/>
        </w:rPr>
        <w:t xml:space="preserve">Sources:  U.S. Census Bureau, decennial censuses, 1850 through 1940; BLS, annual monthly average from the </w:t>
      </w:r>
      <w:r w:rsidRPr="003D3F7A">
        <w:rPr>
          <w:rFonts w:eastAsia="Calibri" w:cs="Arial"/>
          <w:i/>
          <w:iCs/>
        </w:rPr>
        <w:t>Current Population Survey</w:t>
      </w:r>
      <w:r w:rsidRPr="003D3F7A">
        <w:rPr>
          <w:rFonts w:eastAsia="Calibri" w:cs="Arial"/>
        </w:rPr>
        <w:t xml:space="preserve"> (CPS) for 1948 forward </w:t>
      </w:r>
    </w:p>
    <w:p w14:paraId="67F7889D" w14:textId="77777777" w:rsidR="00937AEC" w:rsidRDefault="00937AEC" w:rsidP="00937AEC">
      <w:pPr>
        <w:rPr>
          <w:rFonts w:eastAsia="Calibri" w:cs="Arial"/>
        </w:rPr>
      </w:pPr>
    </w:p>
    <w:p w14:paraId="794B939F" w14:textId="61835355" w:rsidR="00682503" w:rsidRDefault="00B82EC3" w:rsidP="00937AEC">
      <w:pPr>
        <w:rPr>
          <w:rFonts w:eastAsia="Calibri" w:cs="Arial"/>
        </w:rPr>
      </w:pPr>
      <w:r>
        <w:rPr>
          <w:rFonts w:eastAsia="Calibri" w:cs="Arial"/>
          <w:b/>
          <w:bCs/>
        </w:rPr>
        <w:t>Employment rates for older Americans.</w:t>
      </w:r>
      <w:r>
        <w:rPr>
          <w:rFonts w:eastAsia="Calibri" w:cs="Arial"/>
        </w:rPr>
        <w:t xml:space="preserve">  </w:t>
      </w:r>
      <w:r w:rsidR="00944CE0">
        <w:rPr>
          <w:rFonts w:eastAsia="Calibri" w:cs="Arial"/>
        </w:rPr>
        <w:t xml:space="preserve">We first describe overall trends among older individuals, </w:t>
      </w:r>
      <w:r w:rsidR="003F1CD7">
        <w:rPr>
          <w:rFonts w:eastAsia="Calibri" w:cs="Arial"/>
        </w:rPr>
        <w:t xml:space="preserve">then track patterns separately for men and women within narrower age cohorts.  </w:t>
      </w:r>
    </w:p>
    <w:p w14:paraId="796653F2" w14:textId="77777777" w:rsidR="00664EA1" w:rsidRDefault="00664EA1" w:rsidP="00937AEC">
      <w:pPr>
        <w:rPr>
          <w:rFonts w:eastAsia="Calibri" w:cs="Arial"/>
        </w:rPr>
      </w:pPr>
    </w:p>
    <w:p w14:paraId="4D18825C" w14:textId="601BC563" w:rsidR="00D2603C" w:rsidRDefault="00D734C8" w:rsidP="00937AEC">
      <w:pPr>
        <w:rPr>
          <w:rFonts w:eastAsia="Calibri" w:cs="Arial"/>
        </w:rPr>
      </w:pPr>
      <w:r>
        <w:rPr>
          <w:rFonts w:eastAsia="Calibri" w:cs="Arial"/>
        </w:rPr>
        <w:t>Employment rates among the elderly have changed much more over time than for those aged 55 to 64</w:t>
      </w:r>
      <w:r w:rsidR="00D530B6">
        <w:rPr>
          <w:rFonts w:eastAsia="Calibri" w:cs="Arial"/>
        </w:rPr>
        <w:t xml:space="preserve">.  In the </w:t>
      </w:r>
      <w:r w:rsidR="000E534E">
        <w:rPr>
          <w:rFonts w:eastAsia="Calibri" w:cs="Arial"/>
        </w:rPr>
        <w:t xml:space="preserve">immediate post-Civil War period, nearly half of 65 to 74 year-olds </w:t>
      </w:r>
      <w:r w:rsidR="000E0611">
        <w:rPr>
          <w:rFonts w:eastAsia="Calibri" w:cs="Arial"/>
        </w:rPr>
        <w:t xml:space="preserve">worked, but from about 1900 onward the proportion of elderly individuals in both </w:t>
      </w:r>
      <w:r w:rsidR="00257BF1">
        <w:rPr>
          <w:rFonts w:eastAsia="Calibri" w:cs="Arial"/>
        </w:rPr>
        <w:t xml:space="preserve">cohorts more or less steadily dropped, as shown in the chart below.  </w:t>
      </w:r>
      <w:r w:rsidR="00C67E84">
        <w:rPr>
          <w:rFonts w:eastAsia="Calibri" w:cs="Arial"/>
        </w:rPr>
        <w:t xml:space="preserve">As Social Security Old Age Payments didn’t begin until the 1940s, the most likely </w:t>
      </w:r>
      <w:r w:rsidR="0045200D">
        <w:rPr>
          <w:rFonts w:eastAsia="Calibri" w:cs="Arial"/>
        </w:rPr>
        <w:t>cause</w:t>
      </w:r>
      <w:r w:rsidR="00C67E84">
        <w:rPr>
          <w:rFonts w:eastAsia="Calibri" w:cs="Arial"/>
        </w:rPr>
        <w:t xml:space="preserve"> </w:t>
      </w:r>
      <w:r w:rsidR="0045200D">
        <w:rPr>
          <w:rFonts w:eastAsia="Calibri" w:cs="Arial"/>
        </w:rPr>
        <w:t>of</w:t>
      </w:r>
      <w:r w:rsidR="00C67E84">
        <w:rPr>
          <w:rFonts w:eastAsia="Calibri" w:cs="Arial"/>
        </w:rPr>
        <w:t xml:space="preserve"> the </w:t>
      </w:r>
      <w:r w:rsidR="0045200D">
        <w:rPr>
          <w:rFonts w:eastAsia="Calibri" w:cs="Arial"/>
        </w:rPr>
        <w:t xml:space="preserve">decline in the first </w:t>
      </w:r>
      <w:r w:rsidR="00C927CA">
        <w:rPr>
          <w:rFonts w:eastAsia="Calibri" w:cs="Arial"/>
        </w:rPr>
        <w:t>four decades of the 20</w:t>
      </w:r>
      <w:r w:rsidR="00C927CA" w:rsidRPr="00C927CA">
        <w:rPr>
          <w:rFonts w:eastAsia="Calibri" w:cs="Arial"/>
          <w:vertAlign w:val="superscript"/>
        </w:rPr>
        <w:t>th</w:t>
      </w:r>
      <w:r w:rsidR="00C927CA">
        <w:rPr>
          <w:rFonts w:eastAsia="Calibri" w:cs="Arial"/>
        </w:rPr>
        <w:t xml:space="preserve"> century is rising affluence.  </w:t>
      </w:r>
    </w:p>
    <w:p w14:paraId="3E96F894" w14:textId="77777777" w:rsidR="00EF04BD" w:rsidRDefault="00EF04BD" w:rsidP="00937AEC">
      <w:pPr>
        <w:rPr>
          <w:rFonts w:eastAsia="Calibri" w:cs="Arial"/>
        </w:rPr>
      </w:pPr>
    </w:p>
    <w:p w14:paraId="4C2947BD" w14:textId="06E6A68F" w:rsidR="00EF04BD" w:rsidRDefault="00EF04BD" w:rsidP="00937AEC">
      <w:pPr>
        <w:rPr>
          <w:rFonts w:eastAsia="Calibri" w:cs="Arial"/>
        </w:rPr>
      </w:pPr>
      <w:r>
        <w:rPr>
          <w:rFonts w:eastAsia="Calibri" w:cs="Arial"/>
        </w:rPr>
        <w:t xml:space="preserve">The implementation of </w:t>
      </w:r>
      <w:r w:rsidR="004F0489">
        <w:rPr>
          <w:rFonts w:eastAsia="Calibri" w:cs="Arial"/>
        </w:rPr>
        <w:t xml:space="preserve">Old Age Insurance undoubtedly facilitated the decline </w:t>
      </w:r>
      <w:r w:rsidR="003470FD">
        <w:rPr>
          <w:rFonts w:eastAsia="Calibri" w:cs="Arial"/>
        </w:rPr>
        <w:t xml:space="preserve">from 1940 forward, aided by </w:t>
      </w:r>
      <w:r w:rsidR="0009754A">
        <w:rPr>
          <w:rFonts w:eastAsia="Calibri" w:cs="Arial"/>
        </w:rPr>
        <w:t>lib</w:t>
      </w:r>
      <w:r w:rsidR="00B35BDE">
        <w:rPr>
          <w:rFonts w:eastAsia="Calibri" w:cs="Arial"/>
        </w:rPr>
        <w:t>eralized benefit rules, and the later addition</w:t>
      </w:r>
      <w:r w:rsidR="009469E2">
        <w:rPr>
          <w:rFonts w:eastAsia="Calibri" w:cs="Arial"/>
        </w:rPr>
        <w:t>s</w:t>
      </w:r>
      <w:r w:rsidR="00B35BDE">
        <w:rPr>
          <w:rFonts w:eastAsia="Calibri" w:cs="Arial"/>
        </w:rPr>
        <w:t xml:space="preserve"> of </w:t>
      </w:r>
      <w:r w:rsidR="009469E2">
        <w:rPr>
          <w:rFonts w:eastAsia="Calibri" w:cs="Arial"/>
        </w:rPr>
        <w:t xml:space="preserve">Disability Insurance and SSI.  </w:t>
      </w:r>
    </w:p>
    <w:p w14:paraId="24FD1929" w14:textId="77777777" w:rsidR="009A0462" w:rsidRPr="00B82EC3" w:rsidRDefault="009A0462" w:rsidP="00937AEC">
      <w:pPr>
        <w:rPr>
          <w:rFonts w:eastAsia="Calibri" w:cs="Arial"/>
        </w:rPr>
      </w:pPr>
    </w:p>
    <w:p w14:paraId="1E40E4C0" w14:textId="77777777" w:rsidR="00937AEC" w:rsidRPr="00B20EE3" w:rsidRDefault="00937AEC" w:rsidP="00937AEC">
      <w:pPr>
        <w:rPr>
          <w:rFonts w:eastAsia="Calibri" w:cs="Arial"/>
        </w:rPr>
      </w:pPr>
      <w:r w:rsidRPr="003D3F7A">
        <w:rPr>
          <w:rFonts w:eastAsia="Calibri" w:cs="Arial"/>
          <w:noProof/>
        </w:rPr>
        <w:lastRenderedPageBreak/>
        <w:drawing>
          <wp:inline distT="0" distB="0" distL="0" distR="0" wp14:anchorId="1F7FA526" wp14:editId="7EEF657D">
            <wp:extent cx="6188075" cy="4151630"/>
            <wp:effectExtent l="0" t="0" r="3175" b="1270"/>
            <wp:docPr id="959594197"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594197" name="Picture 2" descr="Chart, line char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88075" cy="4151630"/>
                    </a:xfrm>
                    <a:prstGeom prst="rect">
                      <a:avLst/>
                    </a:prstGeom>
                    <a:noFill/>
                  </pic:spPr>
                </pic:pic>
              </a:graphicData>
            </a:graphic>
          </wp:inline>
        </w:drawing>
      </w:r>
    </w:p>
    <w:p w14:paraId="3A945AF0" w14:textId="103C1AD9" w:rsidR="00937AEC" w:rsidRDefault="00937AEC" w:rsidP="00937AEC">
      <w:pPr>
        <w:rPr>
          <w:rFonts w:eastAsia="Calibri" w:cs="Arial"/>
        </w:rPr>
      </w:pPr>
      <w:r w:rsidRPr="003D3F7A">
        <w:rPr>
          <w:rFonts w:eastAsia="Calibri" w:cs="Arial"/>
        </w:rPr>
        <w:t xml:space="preserve">Sources:  U.S. Census Bureau, decennial censuses, 1860 through 1960; BLS, annual monthly average from the </w:t>
      </w:r>
      <w:r w:rsidRPr="003D3F7A">
        <w:rPr>
          <w:rFonts w:eastAsia="Calibri" w:cs="Arial"/>
          <w:i/>
          <w:iCs/>
        </w:rPr>
        <w:t>Current Population Survey</w:t>
      </w:r>
      <w:r w:rsidRPr="003D3F7A">
        <w:rPr>
          <w:rFonts w:eastAsia="Calibri" w:cs="Arial"/>
        </w:rPr>
        <w:t xml:space="preserve"> (CPS) for 1948 forward for ages 55 to 64, and for 1967 forward for ages 65 to 74, and 75 and older </w:t>
      </w:r>
    </w:p>
    <w:p w14:paraId="2EF16ECC" w14:textId="77777777" w:rsidR="00DB1490" w:rsidRDefault="00DB1490" w:rsidP="00937AEC">
      <w:pPr>
        <w:rPr>
          <w:rFonts w:eastAsia="Calibri" w:cs="Arial"/>
        </w:rPr>
      </w:pPr>
    </w:p>
    <w:p w14:paraId="248FE55E" w14:textId="1C445C32" w:rsidR="00DB1490" w:rsidRDefault="00424B50" w:rsidP="00937AEC">
      <w:pPr>
        <w:rPr>
          <w:rFonts w:eastAsia="Calibri" w:cs="Arial"/>
        </w:rPr>
      </w:pPr>
      <w:r>
        <w:rPr>
          <w:rFonts w:eastAsia="Calibri" w:cs="Arial"/>
        </w:rPr>
        <w:t xml:space="preserve">The situation for 55 to 64 year-olds is more </w:t>
      </w:r>
      <w:r w:rsidR="0014541A">
        <w:rPr>
          <w:rFonts w:eastAsia="Calibri" w:cs="Arial"/>
        </w:rPr>
        <w:t>complex</w:t>
      </w:r>
      <w:r w:rsidR="00AD3469">
        <w:rPr>
          <w:rFonts w:eastAsia="Calibri" w:cs="Arial"/>
        </w:rPr>
        <w:t xml:space="preserve">, with generally stable employment rates for decades longer – approximately </w:t>
      </w:r>
      <w:r w:rsidR="00C14544">
        <w:rPr>
          <w:rFonts w:eastAsia="Calibri" w:cs="Arial"/>
        </w:rPr>
        <w:t xml:space="preserve">through 1920, then falling rates during the 1920s </w:t>
      </w:r>
      <w:r w:rsidR="00D44A51">
        <w:rPr>
          <w:rFonts w:eastAsia="Calibri" w:cs="Arial"/>
        </w:rPr>
        <w:t xml:space="preserve">-- </w:t>
      </w:r>
      <w:r w:rsidR="00C14544">
        <w:rPr>
          <w:rFonts w:eastAsia="Calibri" w:cs="Arial"/>
        </w:rPr>
        <w:t>presumably attributable to this being a decade of rising affluence until the Great Depression</w:t>
      </w:r>
      <w:r w:rsidR="00D44A51">
        <w:rPr>
          <w:rFonts w:eastAsia="Calibri" w:cs="Arial"/>
        </w:rPr>
        <w:t xml:space="preserve">.  Employment rates then </w:t>
      </w:r>
      <w:r w:rsidR="008A76F7">
        <w:rPr>
          <w:rFonts w:eastAsia="Calibri" w:cs="Arial"/>
        </w:rPr>
        <w:t xml:space="preserve">continued to drop during the Great Depression, and the subsequent rise after the Depression suggests that this further decline </w:t>
      </w:r>
      <w:r w:rsidR="00CB1A55">
        <w:rPr>
          <w:rFonts w:eastAsia="Calibri" w:cs="Arial"/>
        </w:rPr>
        <w:t xml:space="preserve">wasn’t voluntary.   </w:t>
      </w:r>
    </w:p>
    <w:p w14:paraId="4147AC7F" w14:textId="77777777" w:rsidR="00CB1A55" w:rsidRDefault="00CB1A55" w:rsidP="00937AEC">
      <w:pPr>
        <w:rPr>
          <w:rFonts w:eastAsia="Calibri" w:cs="Arial"/>
        </w:rPr>
      </w:pPr>
    </w:p>
    <w:p w14:paraId="302734BA" w14:textId="301C49B2" w:rsidR="00CB1A55" w:rsidRDefault="00CB1A55" w:rsidP="00937AEC">
      <w:pPr>
        <w:rPr>
          <w:rFonts w:eastAsia="Calibri" w:cs="Arial"/>
        </w:rPr>
      </w:pPr>
      <w:r>
        <w:rPr>
          <w:rFonts w:eastAsia="Calibri" w:cs="Arial"/>
        </w:rPr>
        <w:t xml:space="preserve">Thereafter the employment pattern for 55 to 64 </w:t>
      </w:r>
      <w:r w:rsidR="00957F3A">
        <w:rPr>
          <w:rFonts w:eastAsia="Calibri" w:cs="Arial"/>
        </w:rPr>
        <w:t xml:space="preserve">year-olds radically diverged from lessening employment rates among their </w:t>
      </w:r>
      <w:r w:rsidR="00F118A2">
        <w:rPr>
          <w:rFonts w:eastAsia="Calibri" w:cs="Arial"/>
        </w:rPr>
        <w:t xml:space="preserve">elderly counterparts.  For this generally pre-retirement age bracket, employment rates not only recovered to their pre-Depression level, but continued to rise </w:t>
      </w:r>
      <w:r w:rsidR="00EE150D">
        <w:rPr>
          <w:rFonts w:eastAsia="Calibri" w:cs="Arial"/>
        </w:rPr>
        <w:t>through the end of the 1960s</w:t>
      </w:r>
      <w:r w:rsidR="0064414E">
        <w:rPr>
          <w:rFonts w:eastAsia="Calibri" w:cs="Arial"/>
        </w:rPr>
        <w:t xml:space="preserve"> to levels not seen since the 19</w:t>
      </w:r>
      <w:r w:rsidR="0064414E" w:rsidRPr="0064414E">
        <w:rPr>
          <w:rFonts w:eastAsia="Calibri" w:cs="Arial"/>
          <w:vertAlign w:val="superscript"/>
        </w:rPr>
        <w:t>th</w:t>
      </w:r>
      <w:r w:rsidR="0064414E">
        <w:rPr>
          <w:rFonts w:eastAsia="Calibri" w:cs="Arial"/>
        </w:rPr>
        <w:t xml:space="preserve"> century</w:t>
      </w:r>
      <w:r w:rsidR="00F828AD">
        <w:rPr>
          <w:rFonts w:eastAsia="Calibri" w:cs="Arial"/>
        </w:rPr>
        <w:t xml:space="preserve">.  This initially seems </w:t>
      </w:r>
      <w:r w:rsidR="00301004">
        <w:rPr>
          <w:rFonts w:eastAsia="Calibri" w:cs="Arial"/>
        </w:rPr>
        <w:t xml:space="preserve">puzzling given Old Age Insurance, but </w:t>
      </w:r>
      <w:r w:rsidR="00243A53">
        <w:rPr>
          <w:rFonts w:eastAsia="Calibri" w:cs="Arial"/>
        </w:rPr>
        <w:t xml:space="preserve">the explanation is due to the absence of an early retirement </w:t>
      </w:r>
      <w:r w:rsidR="00DD6970">
        <w:rPr>
          <w:rFonts w:eastAsia="Calibri" w:cs="Arial"/>
        </w:rPr>
        <w:t xml:space="preserve">benefit at age 62, not introduced until the early 1960s, and the mass entrance of women into the paid workforce.  </w:t>
      </w:r>
      <w:r w:rsidR="00375426">
        <w:rPr>
          <w:rFonts w:eastAsia="Calibri" w:cs="Arial"/>
        </w:rPr>
        <w:t xml:space="preserve">Men’s employment </w:t>
      </w:r>
      <w:r w:rsidR="007D0968">
        <w:rPr>
          <w:rFonts w:eastAsia="Calibri" w:cs="Arial"/>
        </w:rPr>
        <w:t xml:space="preserve">for the relevant 60 to 64 year-olds began to plummet at this point, but the </w:t>
      </w:r>
      <w:r w:rsidR="00DF0D91">
        <w:rPr>
          <w:rFonts w:eastAsia="Calibri" w:cs="Arial"/>
        </w:rPr>
        <w:t xml:space="preserve">continued rising employment among </w:t>
      </w:r>
      <w:r w:rsidR="005A23DE">
        <w:rPr>
          <w:rFonts w:eastAsia="Calibri" w:cs="Arial"/>
        </w:rPr>
        <w:t xml:space="preserve">women especially in their late fifties, and to a lesser extent in their early sixties, </w:t>
      </w:r>
      <w:r w:rsidR="00B44786">
        <w:rPr>
          <w:rFonts w:eastAsia="Calibri" w:cs="Arial"/>
        </w:rPr>
        <w:t xml:space="preserve">sustained an overall rising employment trend for 55 to 64 year-olds through the end of the 1960s.  </w:t>
      </w:r>
      <w:r w:rsidR="00C82278">
        <w:rPr>
          <w:rFonts w:eastAsia="Calibri" w:cs="Arial"/>
        </w:rPr>
        <w:t xml:space="preserve">Thereafter employment rates </w:t>
      </w:r>
      <w:r w:rsidR="003462B8">
        <w:rPr>
          <w:rFonts w:eastAsia="Calibri" w:cs="Arial"/>
        </w:rPr>
        <w:t xml:space="preserve">for both female cohorts dropped, causing an overall decline among both genders </w:t>
      </w:r>
      <w:r w:rsidR="00635874">
        <w:rPr>
          <w:rFonts w:eastAsia="Calibri" w:cs="Arial"/>
        </w:rPr>
        <w:t xml:space="preserve">until the mid-1980s. </w:t>
      </w:r>
    </w:p>
    <w:p w14:paraId="73CAF8EE" w14:textId="77777777" w:rsidR="00635874" w:rsidRDefault="00635874" w:rsidP="00937AEC">
      <w:pPr>
        <w:rPr>
          <w:rFonts w:eastAsia="Calibri" w:cs="Arial"/>
        </w:rPr>
      </w:pPr>
    </w:p>
    <w:p w14:paraId="011A3EC9" w14:textId="1CA93720" w:rsidR="00635874" w:rsidRDefault="00635874" w:rsidP="00937AEC">
      <w:pPr>
        <w:rPr>
          <w:rFonts w:eastAsia="Calibri" w:cs="Arial"/>
        </w:rPr>
      </w:pPr>
      <w:r>
        <w:rPr>
          <w:rFonts w:eastAsia="Calibri" w:cs="Arial"/>
        </w:rPr>
        <w:t>A</w:t>
      </w:r>
      <w:r w:rsidR="00C60DC5">
        <w:rPr>
          <w:rFonts w:eastAsia="Calibri" w:cs="Arial"/>
        </w:rPr>
        <w:t xml:space="preserve"> historically major reversal began in the mid-</w:t>
      </w:r>
      <w:r w:rsidR="001E0520">
        <w:rPr>
          <w:rFonts w:eastAsia="Calibri" w:cs="Arial"/>
        </w:rPr>
        <w:t xml:space="preserve">1980s, when employment rates again rose for those </w:t>
      </w:r>
      <w:r w:rsidR="00625CF1">
        <w:rPr>
          <w:rFonts w:eastAsia="Calibri" w:cs="Arial"/>
        </w:rPr>
        <w:t>aged 55 to 64, and more significantly among the elderly</w:t>
      </w:r>
      <w:r w:rsidR="004B4D9E">
        <w:rPr>
          <w:rFonts w:eastAsia="Calibri" w:cs="Arial"/>
        </w:rPr>
        <w:t xml:space="preserve"> -- </w:t>
      </w:r>
      <w:r w:rsidR="00625CF1">
        <w:rPr>
          <w:rFonts w:eastAsia="Calibri" w:cs="Arial"/>
        </w:rPr>
        <w:t xml:space="preserve">the first time such an increase had occurred in American history.  </w:t>
      </w:r>
      <w:r w:rsidR="00F45B1A">
        <w:rPr>
          <w:rFonts w:eastAsia="Calibri" w:cs="Arial"/>
        </w:rPr>
        <w:t xml:space="preserve">Although as discussed below </w:t>
      </w:r>
      <w:r w:rsidR="00277E66">
        <w:rPr>
          <w:rFonts w:eastAsia="Calibri" w:cs="Arial"/>
        </w:rPr>
        <w:t xml:space="preserve">increases in employment among older individuals later occurred in most advanced economies, the most likely explanation for the earlier U.S. rise is widespread public knowledge of the </w:t>
      </w:r>
      <w:r w:rsidR="004B4D9E">
        <w:rPr>
          <w:rFonts w:eastAsia="Calibri" w:cs="Arial"/>
        </w:rPr>
        <w:t xml:space="preserve">increase in the normal Social Security retirement age, enacted in 1983.  </w:t>
      </w:r>
      <w:r w:rsidR="00427BE5">
        <w:rPr>
          <w:rFonts w:eastAsia="Calibri" w:cs="Arial"/>
        </w:rPr>
        <w:t>As explained above, this increase didn’t even begin to be implemented until the early 2000s</w:t>
      </w:r>
      <w:r w:rsidR="00E308AA">
        <w:rPr>
          <w:rFonts w:eastAsia="Calibri" w:cs="Arial"/>
        </w:rPr>
        <w:t xml:space="preserve">, most Americans were likely unfamiliar with these details, but instead simply understood that they were going to need to </w:t>
      </w:r>
      <w:r w:rsidR="00105CAE">
        <w:rPr>
          <w:rFonts w:eastAsia="Calibri" w:cs="Arial"/>
        </w:rPr>
        <w:t xml:space="preserve">delay their retirement or risk lower Social Security payments.  </w:t>
      </w:r>
    </w:p>
    <w:p w14:paraId="26C751A5" w14:textId="77777777" w:rsidR="00FC09FC" w:rsidRDefault="00FC09FC" w:rsidP="00937AEC">
      <w:pPr>
        <w:rPr>
          <w:rFonts w:eastAsia="Calibri" w:cs="Arial"/>
        </w:rPr>
      </w:pPr>
    </w:p>
    <w:p w14:paraId="1159A814" w14:textId="55F5E1E2" w:rsidR="00FC09FC" w:rsidRPr="003D3F7A" w:rsidRDefault="00BE2256" w:rsidP="00937AEC">
      <w:pPr>
        <w:rPr>
          <w:rFonts w:eastAsia="Calibri" w:cs="Arial"/>
        </w:rPr>
      </w:pPr>
      <w:r>
        <w:rPr>
          <w:rFonts w:eastAsia="Calibri" w:cs="Arial"/>
        </w:rPr>
        <w:lastRenderedPageBreak/>
        <w:t xml:space="preserve">Employment rates continued to increase among older individuals, albeit with </w:t>
      </w:r>
      <w:r w:rsidR="00217FAF">
        <w:rPr>
          <w:rFonts w:eastAsia="Calibri" w:cs="Arial"/>
        </w:rPr>
        <w:t xml:space="preserve">interruptions for 55 to 64 year-olds during the so-called Great Recession </w:t>
      </w:r>
      <w:r w:rsidR="00DF267B">
        <w:rPr>
          <w:rFonts w:eastAsia="Calibri" w:cs="Arial"/>
        </w:rPr>
        <w:t xml:space="preserve">that began in 2007, until a more pervasive </w:t>
      </w:r>
      <w:r w:rsidR="00EB55BB">
        <w:rPr>
          <w:rFonts w:eastAsia="Calibri" w:cs="Arial"/>
        </w:rPr>
        <w:t xml:space="preserve">interruption of this trend during the pandemic, as discussed above.  </w:t>
      </w:r>
      <w:r w:rsidR="00DF267B">
        <w:rPr>
          <w:rFonts w:eastAsia="Calibri" w:cs="Arial"/>
        </w:rPr>
        <w:t xml:space="preserve">  </w:t>
      </w:r>
    </w:p>
    <w:p w14:paraId="68718413" w14:textId="77777777" w:rsidR="00937AEC" w:rsidRDefault="00937AEC" w:rsidP="00937AEC">
      <w:pPr>
        <w:rPr>
          <w:rFonts w:eastAsia="Calibri" w:cs="Arial"/>
        </w:rPr>
      </w:pPr>
    </w:p>
    <w:p w14:paraId="40019202" w14:textId="6ED5F349" w:rsidR="000B4F66" w:rsidRDefault="00C40EAD" w:rsidP="000B4F66">
      <w:pPr>
        <w:rPr>
          <w:rFonts w:eastAsia="Calibri" w:cs="Arial"/>
        </w:rPr>
      </w:pPr>
      <w:r>
        <w:rPr>
          <w:rFonts w:eastAsia="Calibri" w:cs="Arial"/>
          <w:b/>
          <w:bCs/>
        </w:rPr>
        <w:t>Men’s employment.</w:t>
      </w:r>
      <w:r>
        <w:rPr>
          <w:rFonts w:eastAsia="Calibri" w:cs="Arial"/>
        </w:rPr>
        <w:t xml:space="preserve">  </w:t>
      </w:r>
      <w:r w:rsidR="000B4F66">
        <w:rPr>
          <w:rFonts w:eastAsia="Calibri" w:cs="Arial"/>
        </w:rPr>
        <w:t>Apart from recessions, employment rates tended to remain relatively stable among older men during the late 19</w:t>
      </w:r>
      <w:r w:rsidR="000B4F66" w:rsidRPr="00E60F6A">
        <w:rPr>
          <w:rFonts w:eastAsia="Calibri" w:cs="Arial"/>
          <w:vertAlign w:val="superscript"/>
        </w:rPr>
        <w:t>th</w:t>
      </w:r>
      <w:r w:rsidR="000B4F66">
        <w:rPr>
          <w:rFonts w:eastAsia="Calibri" w:cs="Arial"/>
        </w:rPr>
        <w:t xml:space="preserve"> century, but then began to decline around 1900, four decades before the first Old Age Insurance occurred, even apart from the impact of the Great Depression.  </w:t>
      </w:r>
    </w:p>
    <w:p w14:paraId="164EB5AE" w14:textId="77777777" w:rsidR="00EC792B" w:rsidRDefault="00EC792B" w:rsidP="000B4F66">
      <w:pPr>
        <w:rPr>
          <w:rFonts w:eastAsia="Calibri" w:cs="Arial"/>
        </w:rPr>
      </w:pPr>
    </w:p>
    <w:p w14:paraId="67A3335A" w14:textId="3E3B4C9F" w:rsidR="00EC792B" w:rsidRDefault="00104891" w:rsidP="000B4F66">
      <w:pPr>
        <w:rPr>
          <w:rFonts w:eastAsia="Calibri" w:cs="Arial"/>
        </w:rPr>
      </w:pPr>
      <w:r>
        <w:rPr>
          <w:rFonts w:eastAsia="Calibri" w:cs="Arial"/>
        </w:rPr>
        <w:t>As shown in the chart below, i</w:t>
      </w:r>
      <w:r w:rsidR="00F9285C">
        <w:rPr>
          <w:rFonts w:eastAsia="Calibri" w:cs="Arial"/>
        </w:rPr>
        <w:t>n the mid-19</w:t>
      </w:r>
      <w:r w:rsidR="00F9285C" w:rsidRPr="00F9285C">
        <w:rPr>
          <w:rFonts w:eastAsia="Calibri" w:cs="Arial"/>
          <w:vertAlign w:val="superscript"/>
        </w:rPr>
        <w:t>th</w:t>
      </w:r>
      <w:r w:rsidR="00F9285C">
        <w:rPr>
          <w:rFonts w:eastAsia="Calibri" w:cs="Arial"/>
        </w:rPr>
        <w:t xml:space="preserve"> century, virtually all men </w:t>
      </w:r>
      <w:r w:rsidR="0019760C">
        <w:rPr>
          <w:rFonts w:eastAsia="Calibri" w:cs="Arial"/>
        </w:rPr>
        <w:t>– about 95 percent – worked through the age</w:t>
      </w:r>
      <w:r w:rsidR="0009304E">
        <w:rPr>
          <w:rFonts w:eastAsia="Calibri" w:cs="Arial"/>
        </w:rPr>
        <w:t xml:space="preserve"> of about 64, and even through 69 more than 90 percent worked.</w:t>
      </w:r>
      <w:r w:rsidR="0009304E">
        <w:rPr>
          <w:rStyle w:val="FootnoteReference"/>
          <w:rFonts w:eastAsia="Calibri" w:cs="Arial"/>
        </w:rPr>
        <w:footnoteReference w:id="8"/>
      </w:r>
      <w:r w:rsidR="0009304E">
        <w:rPr>
          <w:rFonts w:eastAsia="Calibri" w:cs="Arial"/>
        </w:rPr>
        <w:t xml:space="preserve">  </w:t>
      </w:r>
      <w:r w:rsidR="00A3353D">
        <w:rPr>
          <w:rFonts w:eastAsia="Calibri" w:cs="Arial"/>
        </w:rPr>
        <w:t>Even at 75 and older</w:t>
      </w:r>
      <w:r w:rsidR="00344EB2">
        <w:rPr>
          <w:rFonts w:eastAsia="Calibri" w:cs="Arial"/>
        </w:rPr>
        <w:t xml:space="preserve">, about 70 percent of men worked.  Because men </w:t>
      </w:r>
      <w:r w:rsidR="00CD12E2">
        <w:rPr>
          <w:rFonts w:eastAsia="Calibri" w:cs="Arial"/>
        </w:rPr>
        <w:t xml:space="preserve">either had to or were expected to work until old age, their declining employment rates </w:t>
      </w:r>
      <w:r w:rsidR="001101E4">
        <w:rPr>
          <w:rFonts w:eastAsia="Calibri" w:cs="Arial"/>
        </w:rPr>
        <w:t>for the half century between 1870 and 1920</w:t>
      </w:r>
      <w:r w:rsidR="00AA2B64">
        <w:rPr>
          <w:rFonts w:eastAsia="Calibri" w:cs="Arial"/>
        </w:rPr>
        <w:t xml:space="preserve"> – decades before the introduction of Social Security – strongly suggest that rising American affluence enabled </w:t>
      </w:r>
      <w:r w:rsidR="001F075A">
        <w:rPr>
          <w:rFonts w:eastAsia="Calibri" w:cs="Arial"/>
        </w:rPr>
        <w:t xml:space="preserve">a growing number of elderly men to retire than had previously been possible.  </w:t>
      </w:r>
      <w:r w:rsidR="00591E14">
        <w:rPr>
          <w:rFonts w:eastAsia="Calibri" w:cs="Arial"/>
        </w:rPr>
        <w:t xml:space="preserve">Occasional declines were likely involuntary, caused by </w:t>
      </w:r>
      <w:r w:rsidR="00856DDB">
        <w:rPr>
          <w:rFonts w:eastAsia="Calibri" w:cs="Arial"/>
        </w:rPr>
        <w:t xml:space="preserve">severe economic depressions in the early 1900s, a pattern more </w:t>
      </w:r>
      <w:r w:rsidR="009F7404">
        <w:rPr>
          <w:rFonts w:eastAsia="Calibri" w:cs="Arial"/>
        </w:rPr>
        <w:t xml:space="preserve">obviously revealed later during the Great Depression, but occasional </w:t>
      </w:r>
      <w:r w:rsidR="005A0FC0">
        <w:rPr>
          <w:rFonts w:eastAsia="Calibri" w:cs="Arial"/>
        </w:rPr>
        <w:t xml:space="preserve">recessions cannot explain a clear pattern over so many decades.  </w:t>
      </w:r>
    </w:p>
    <w:p w14:paraId="0E720624" w14:textId="77777777" w:rsidR="00C76FE7" w:rsidRDefault="00C76FE7" w:rsidP="000B4F66">
      <w:pPr>
        <w:rPr>
          <w:rFonts w:eastAsia="Calibri" w:cs="Arial"/>
        </w:rPr>
      </w:pPr>
    </w:p>
    <w:p w14:paraId="23728225" w14:textId="00B22502" w:rsidR="00C76FE7" w:rsidRDefault="008F3C1F" w:rsidP="000B4F66">
      <w:pPr>
        <w:rPr>
          <w:rFonts w:eastAsia="Calibri" w:cs="Arial"/>
        </w:rPr>
      </w:pPr>
      <w:r>
        <w:rPr>
          <w:rFonts w:eastAsia="Calibri" w:cs="Arial"/>
        </w:rPr>
        <w:t>P</w:t>
      </w:r>
      <w:r w:rsidR="00C76FE7">
        <w:rPr>
          <w:rFonts w:eastAsia="Calibri" w:cs="Arial"/>
        </w:rPr>
        <w:t xml:space="preserve">ost-World War II </w:t>
      </w:r>
      <w:r>
        <w:rPr>
          <w:rFonts w:eastAsia="Calibri" w:cs="Arial"/>
        </w:rPr>
        <w:t xml:space="preserve">employment rate declines among elderly men – in contrast to the </w:t>
      </w:r>
      <w:r w:rsidR="00CF6A0B">
        <w:rPr>
          <w:rFonts w:eastAsia="Calibri" w:cs="Arial"/>
        </w:rPr>
        <w:t xml:space="preserve">opposite pattern for men aged 55 to 64 </w:t>
      </w:r>
      <w:r w:rsidR="00560D2D">
        <w:rPr>
          <w:rFonts w:eastAsia="Calibri" w:cs="Arial"/>
        </w:rPr>
        <w:t>– highlights the likely cause of Old Age Insurance</w:t>
      </w:r>
      <w:r w:rsidR="000109C6">
        <w:rPr>
          <w:rFonts w:eastAsia="Calibri" w:cs="Arial"/>
        </w:rPr>
        <w:t xml:space="preserve">, as early retirement at age 62 wasn’t introduced until the early 1960s.  </w:t>
      </w:r>
      <w:r w:rsidR="00546263">
        <w:rPr>
          <w:rFonts w:eastAsia="Calibri" w:cs="Arial"/>
        </w:rPr>
        <w:t xml:space="preserve">The increase of employment rates among elderly men that began to occur in the mid-1980s </w:t>
      </w:r>
      <w:r w:rsidR="001A2E6D">
        <w:rPr>
          <w:rFonts w:eastAsia="Calibri" w:cs="Arial"/>
        </w:rPr>
        <w:t xml:space="preserve">is likely part of the general pattern discussed above.  The rise in rates among men in their early sixties </w:t>
      </w:r>
      <w:r w:rsidR="009469FB">
        <w:rPr>
          <w:rFonts w:eastAsia="Calibri" w:cs="Arial"/>
        </w:rPr>
        <w:t>didn’t begin until about a decade later, in the mid-1990s</w:t>
      </w:r>
      <w:r w:rsidR="00CF6A0B">
        <w:rPr>
          <w:rFonts w:eastAsia="Calibri" w:cs="Arial"/>
        </w:rPr>
        <w:t xml:space="preserve"> </w:t>
      </w:r>
      <w:r w:rsidR="009469FB">
        <w:rPr>
          <w:rFonts w:eastAsia="Calibri" w:cs="Arial"/>
        </w:rPr>
        <w:t>(</w:t>
      </w:r>
      <w:r w:rsidR="001E5D54">
        <w:rPr>
          <w:rFonts w:eastAsia="Calibri" w:cs="Arial"/>
        </w:rPr>
        <w:t>men in this age bracket were perhaps more keenly aware that the increase in the retirement age hadn’t yet taken effect</w:t>
      </w:r>
      <w:r w:rsidR="0048372A">
        <w:rPr>
          <w:rFonts w:eastAsia="Calibri" w:cs="Arial"/>
        </w:rPr>
        <w:t xml:space="preserve">).  </w:t>
      </w:r>
    </w:p>
    <w:p w14:paraId="09AD0D2D" w14:textId="77777777" w:rsidR="0048372A" w:rsidRDefault="0048372A" w:rsidP="000B4F66">
      <w:pPr>
        <w:rPr>
          <w:rFonts w:eastAsia="Calibri" w:cs="Arial"/>
        </w:rPr>
      </w:pPr>
    </w:p>
    <w:p w14:paraId="63BCA3D6" w14:textId="194567C3" w:rsidR="0048372A" w:rsidRDefault="0048372A" w:rsidP="000B4F66">
      <w:pPr>
        <w:rPr>
          <w:rFonts w:eastAsia="Calibri" w:cs="Arial"/>
        </w:rPr>
      </w:pPr>
      <w:r>
        <w:rPr>
          <w:rFonts w:eastAsia="Calibri" w:cs="Arial"/>
        </w:rPr>
        <w:t xml:space="preserve">The pattern for men in their late fifties strikingly differs from that of older men, showing considerable stability – apart from recessions </w:t>
      </w:r>
      <w:r w:rsidR="007B1B5C">
        <w:rPr>
          <w:rFonts w:eastAsia="Calibri" w:cs="Arial"/>
        </w:rPr>
        <w:t xml:space="preserve">– from the mid-1980s through the present.  </w:t>
      </w:r>
      <w:r w:rsidR="00E2158D">
        <w:rPr>
          <w:rFonts w:eastAsia="Calibri" w:cs="Arial"/>
        </w:rPr>
        <w:t xml:space="preserve">Men in this cohort exhibit roughly a similar pattern to prime-age working men, who also </w:t>
      </w:r>
      <w:r w:rsidR="00B83075">
        <w:rPr>
          <w:rFonts w:eastAsia="Calibri" w:cs="Arial"/>
        </w:rPr>
        <w:t xml:space="preserve">show reasonably stable patterns over the same interval, apart from economic downturns.  </w:t>
      </w:r>
    </w:p>
    <w:p w14:paraId="16226175" w14:textId="77777777" w:rsidR="000B4F66" w:rsidRPr="003D3F7A" w:rsidRDefault="000B4F66" w:rsidP="00937AEC">
      <w:pPr>
        <w:rPr>
          <w:rFonts w:eastAsia="Calibri" w:cs="Arial"/>
        </w:rPr>
      </w:pPr>
    </w:p>
    <w:p w14:paraId="65E4B367" w14:textId="77777777" w:rsidR="00937AEC" w:rsidRPr="003D3F7A" w:rsidRDefault="00937AEC" w:rsidP="00937AEC">
      <w:pPr>
        <w:rPr>
          <w:rFonts w:eastAsia="Calibri" w:cs="Arial"/>
        </w:rPr>
      </w:pPr>
      <w:r w:rsidRPr="003D3F7A">
        <w:rPr>
          <w:rFonts w:eastAsia="Calibri" w:cs="Arial"/>
          <w:noProof/>
        </w:rPr>
        <w:lastRenderedPageBreak/>
        <w:drawing>
          <wp:inline distT="0" distB="0" distL="0" distR="0" wp14:anchorId="41155F93" wp14:editId="6C006B48">
            <wp:extent cx="7148476" cy="4476765"/>
            <wp:effectExtent l="0" t="0" r="0" b="0"/>
            <wp:docPr id="462120074"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20074" name="Picture 3" descr="Chart, line char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61285" cy="4484786"/>
                    </a:xfrm>
                    <a:prstGeom prst="rect">
                      <a:avLst/>
                    </a:prstGeom>
                    <a:noFill/>
                  </pic:spPr>
                </pic:pic>
              </a:graphicData>
            </a:graphic>
          </wp:inline>
        </w:drawing>
      </w:r>
    </w:p>
    <w:p w14:paraId="11C362D8" w14:textId="28062EBF" w:rsidR="00937AEC" w:rsidRPr="003D3F7A" w:rsidRDefault="00937AEC" w:rsidP="00937AEC">
      <w:pPr>
        <w:rPr>
          <w:rFonts w:eastAsia="Calibri" w:cs="Arial"/>
        </w:rPr>
      </w:pPr>
      <w:r w:rsidRPr="003D3F7A">
        <w:rPr>
          <w:rFonts w:eastAsia="Calibri" w:cs="Arial"/>
        </w:rPr>
        <w:t xml:space="preserve">Sources:  U.S. Census Bureau, decennial censuses, 1850 through 1960; BLS, annual monthly average from the </w:t>
      </w:r>
      <w:r w:rsidRPr="003D3F7A">
        <w:rPr>
          <w:rFonts w:eastAsia="Calibri" w:cs="Arial"/>
          <w:i/>
          <w:iCs/>
        </w:rPr>
        <w:t>Current Population Survey</w:t>
      </w:r>
      <w:r w:rsidRPr="003D3F7A">
        <w:rPr>
          <w:rFonts w:eastAsia="Calibri" w:cs="Arial"/>
        </w:rPr>
        <w:t xml:space="preserve"> (CPS) for 1967 forward </w:t>
      </w:r>
    </w:p>
    <w:p w14:paraId="0FB3A594" w14:textId="77777777" w:rsidR="00937AEC" w:rsidRPr="003D3F7A" w:rsidRDefault="00937AEC" w:rsidP="00937AEC">
      <w:pPr>
        <w:rPr>
          <w:rFonts w:eastAsia="Calibri" w:cs="Arial"/>
        </w:rPr>
      </w:pPr>
    </w:p>
    <w:p w14:paraId="79E3DF93" w14:textId="617B54EE" w:rsidR="00937AEC" w:rsidRDefault="00104891" w:rsidP="00937AEC">
      <w:pPr>
        <w:rPr>
          <w:rFonts w:eastAsia="Calibri" w:cs="Arial"/>
        </w:rPr>
      </w:pPr>
      <w:r>
        <w:rPr>
          <w:rFonts w:eastAsia="Calibri" w:cs="Arial"/>
          <w:b/>
          <w:bCs/>
        </w:rPr>
        <w:t>Women’s employment.</w:t>
      </w:r>
      <w:r>
        <w:rPr>
          <w:rFonts w:eastAsia="Calibri" w:cs="Arial"/>
        </w:rPr>
        <w:t xml:space="preserve">  </w:t>
      </w:r>
      <w:r w:rsidR="005036D9">
        <w:rPr>
          <w:rFonts w:eastAsia="Calibri" w:cs="Arial"/>
        </w:rPr>
        <w:t xml:space="preserve">In stark contrast to men, </w:t>
      </w:r>
      <w:r w:rsidR="009C02B7">
        <w:rPr>
          <w:rFonts w:eastAsia="Calibri" w:cs="Arial"/>
        </w:rPr>
        <w:t xml:space="preserve">very few women held paid employment during the </w:t>
      </w:r>
      <w:r w:rsidR="000727E2">
        <w:rPr>
          <w:rFonts w:eastAsia="Calibri" w:cs="Arial"/>
        </w:rPr>
        <w:t>mid-</w:t>
      </w:r>
      <w:r w:rsidR="009C02B7">
        <w:rPr>
          <w:rFonts w:eastAsia="Calibri" w:cs="Arial"/>
        </w:rPr>
        <w:t>19</w:t>
      </w:r>
      <w:r w:rsidR="009C02B7" w:rsidRPr="009C02B7">
        <w:rPr>
          <w:rFonts w:eastAsia="Calibri" w:cs="Arial"/>
          <w:vertAlign w:val="superscript"/>
        </w:rPr>
        <w:t>th</w:t>
      </w:r>
      <w:r w:rsidR="009C02B7">
        <w:rPr>
          <w:rFonts w:eastAsia="Calibri" w:cs="Arial"/>
        </w:rPr>
        <w:t xml:space="preserve"> </w:t>
      </w:r>
      <w:r w:rsidR="000727E2">
        <w:rPr>
          <w:rFonts w:eastAsia="Calibri" w:cs="Arial"/>
        </w:rPr>
        <w:t>century – typically 10 percent or less</w:t>
      </w:r>
      <w:r w:rsidR="00F01140">
        <w:rPr>
          <w:rFonts w:eastAsia="Calibri" w:cs="Arial"/>
        </w:rPr>
        <w:t xml:space="preserve">.  This began to change in the last two decades of the century, </w:t>
      </w:r>
      <w:r w:rsidR="00A6759E">
        <w:rPr>
          <w:rFonts w:eastAsia="Calibri" w:cs="Arial"/>
        </w:rPr>
        <w:t xml:space="preserve">rising to nearly 20 percent for women in their late fifties by the </w:t>
      </w:r>
      <w:r w:rsidR="0072214A">
        <w:rPr>
          <w:rFonts w:eastAsia="Calibri" w:cs="Arial"/>
        </w:rPr>
        <w:t xml:space="preserve">century’s end.  </w:t>
      </w:r>
    </w:p>
    <w:p w14:paraId="746829C7" w14:textId="77777777" w:rsidR="0072214A" w:rsidRDefault="0072214A" w:rsidP="00937AEC">
      <w:pPr>
        <w:rPr>
          <w:rFonts w:eastAsia="Calibri" w:cs="Arial"/>
        </w:rPr>
      </w:pPr>
    </w:p>
    <w:p w14:paraId="350D35BC" w14:textId="1864A8E8" w:rsidR="0072214A" w:rsidRDefault="0072214A" w:rsidP="00937AEC">
      <w:pPr>
        <w:rPr>
          <w:rFonts w:eastAsia="Calibri" w:cs="Arial"/>
        </w:rPr>
      </w:pPr>
      <w:r>
        <w:rPr>
          <w:rFonts w:eastAsia="Calibri" w:cs="Arial"/>
        </w:rPr>
        <w:t xml:space="preserve">Thereafter </w:t>
      </w:r>
      <w:r w:rsidR="0057236C">
        <w:rPr>
          <w:rFonts w:eastAsia="Calibri" w:cs="Arial"/>
        </w:rPr>
        <w:t xml:space="preserve">from about 1900 </w:t>
      </w:r>
      <w:r>
        <w:rPr>
          <w:rFonts w:eastAsia="Calibri" w:cs="Arial"/>
        </w:rPr>
        <w:t>employment rates among older women either stagnated or fell</w:t>
      </w:r>
      <w:r w:rsidR="0057236C">
        <w:rPr>
          <w:rFonts w:eastAsia="Calibri" w:cs="Arial"/>
        </w:rPr>
        <w:t>, a trend that preceded the Great Depression.</w:t>
      </w:r>
      <w:r w:rsidR="00885378">
        <w:rPr>
          <w:rFonts w:eastAsia="Calibri" w:cs="Arial"/>
        </w:rPr>
        <w:t xml:space="preserve"> </w:t>
      </w:r>
    </w:p>
    <w:p w14:paraId="557E2E85" w14:textId="77777777" w:rsidR="00885378" w:rsidRDefault="00885378" w:rsidP="00937AEC">
      <w:pPr>
        <w:rPr>
          <w:rFonts w:eastAsia="Calibri" w:cs="Arial"/>
        </w:rPr>
      </w:pPr>
    </w:p>
    <w:p w14:paraId="6E576ED4" w14:textId="71F6CAF9" w:rsidR="00885378" w:rsidRDefault="00885378" w:rsidP="00937AEC">
      <w:pPr>
        <w:rPr>
          <w:rFonts w:eastAsia="Calibri" w:cs="Arial"/>
        </w:rPr>
      </w:pPr>
      <w:r>
        <w:rPr>
          <w:rFonts w:eastAsia="Calibri" w:cs="Arial"/>
        </w:rPr>
        <w:t xml:space="preserve">The pattern differed for prime working-age </w:t>
      </w:r>
      <w:r w:rsidR="000B1566">
        <w:rPr>
          <w:rFonts w:eastAsia="Calibri" w:cs="Arial"/>
        </w:rPr>
        <w:t xml:space="preserve">women, whose employment rates rose from about 1870 onward, even </w:t>
      </w:r>
      <w:r w:rsidR="00796126">
        <w:rPr>
          <w:rFonts w:eastAsia="Calibri" w:cs="Arial"/>
        </w:rPr>
        <w:t>between 1930 and 1940</w:t>
      </w:r>
      <w:r w:rsidR="00D009D2">
        <w:rPr>
          <w:rFonts w:eastAsia="Calibri" w:cs="Arial"/>
        </w:rPr>
        <w:t xml:space="preserve"> (</w:t>
      </w:r>
      <w:r w:rsidR="002B4740">
        <w:rPr>
          <w:rFonts w:eastAsia="Calibri" w:cs="Arial"/>
        </w:rPr>
        <w:t xml:space="preserve">while the rate for men fell -- </w:t>
      </w:r>
      <w:r w:rsidR="00D009D2">
        <w:rPr>
          <w:rFonts w:eastAsia="Calibri" w:cs="Arial"/>
        </w:rPr>
        <w:t>see the chart above)</w:t>
      </w:r>
      <w:r w:rsidR="000B1566">
        <w:rPr>
          <w:rFonts w:eastAsia="Calibri" w:cs="Arial"/>
        </w:rPr>
        <w:t xml:space="preserve">.  However, </w:t>
      </w:r>
      <w:r w:rsidR="005E14ED">
        <w:rPr>
          <w:rFonts w:eastAsia="Calibri" w:cs="Arial"/>
        </w:rPr>
        <w:t xml:space="preserve">as through </w:t>
      </w:r>
      <w:r w:rsidR="004950B0">
        <w:rPr>
          <w:rFonts w:eastAsia="Calibri" w:cs="Arial"/>
        </w:rPr>
        <w:t xml:space="preserve">1940 no more than about one-quarter of such women held paid jobs, they were much less likely than men to obtain Old Age Insurance payments </w:t>
      </w:r>
      <w:r w:rsidR="008B323B">
        <w:rPr>
          <w:rFonts w:eastAsia="Calibri" w:cs="Arial"/>
        </w:rPr>
        <w:t xml:space="preserve">when these began in the 1940s, and they were much more likely to receive Social Security payments as the spouses or widows of men.  </w:t>
      </w:r>
    </w:p>
    <w:p w14:paraId="6010C214" w14:textId="77777777" w:rsidR="00D009D2" w:rsidRDefault="00D009D2" w:rsidP="00937AEC">
      <w:pPr>
        <w:rPr>
          <w:rFonts w:eastAsia="Calibri" w:cs="Arial"/>
        </w:rPr>
      </w:pPr>
    </w:p>
    <w:p w14:paraId="7DBDF03A" w14:textId="3F2802E6" w:rsidR="004B6032" w:rsidRDefault="00D009D2" w:rsidP="00937AEC">
      <w:pPr>
        <w:rPr>
          <w:rFonts w:eastAsia="Calibri" w:cs="Arial"/>
        </w:rPr>
      </w:pPr>
      <w:r>
        <w:rPr>
          <w:rFonts w:eastAsia="Calibri" w:cs="Arial"/>
        </w:rPr>
        <w:t xml:space="preserve">This situation </w:t>
      </w:r>
      <w:r w:rsidR="00D85298">
        <w:rPr>
          <w:rFonts w:eastAsia="Calibri" w:cs="Arial"/>
        </w:rPr>
        <w:t>began to radically change during World War II</w:t>
      </w:r>
      <w:r w:rsidR="00DF47AE">
        <w:rPr>
          <w:rFonts w:eastAsia="Calibri" w:cs="Arial"/>
        </w:rPr>
        <w:t xml:space="preserve">, </w:t>
      </w:r>
      <w:r w:rsidR="00D85298">
        <w:rPr>
          <w:rFonts w:eastAsia="Calibri" w:cs="Arial"/>
        </w:rPr>
        <w:t>when a large number of women h</w:t>
      </w:r>
      <w:r w:rsidR="00DF47AE">
        <w:rPr>
          <w:rFonts w:eastAsia="Calibri" w:cs="Arial"/>
        </w:rPr>
        <w:t xml:space="preserve">eld paid employment to support the war effort, at a time when </w:t>
      </w:r>
      <w:r w:rsidR="0055682C">
        <w:rPr>
          <w:rFonts w:eastAsia="Calibri" w:cs="Arial"/>
        </w:rPr>
        <w:t xml:space="preserve">16 million men </w:t>
      </w:r>
      <w:r w:rsidR="006A35E7">
        <w:rPr>
          <w:rFonts w:eastAsia="Calibri" w:cs="Arial"/>
        </w:rPr>
        <w:t xml:space="preserve">and 380,000 women </w:t>
      </w:r>
      <w:r w:rsidR="0055682C">
        <w:rPr>
          <w:rFonts w:eastAsia="Calibri" w:cs="Arial"/>
        </w:rPr>
        <w:t>were in the military.</w:t>
      </w:r>
      <w:r w:rsidR="0017230D">
        <w:rPr>
          <w:rFonts w:eastAsia="Calibri" w:cs="Arial"/>
        </w:rPr>
        <w:t xml:space="preserve">  Female </w:t>
      </w:r>
      <w:r w:rsidR="00862F2F">
        <w:rPr>
          <w:rFonts w:eastAsia="Calibri" w:cs="Arial"/>
        </w:rPr>
        <w:t xml:space="preserve">civilian </w:t>
      </w:r>
      <w:r w:rsidR="0046381A">
        <w:rPr>
          <w:rFonts w:eastAsia="Calibri" w:cs="Arial"/>
        </w:rPr>
        <w:t xml:space="preserve">labor force participation rates rose from 20 percent in 1940 to about one-third in </w:t>
      </w:r>
      <w:r w:rsidR="00611063">
        <w:rPr>
          <w:rFonts w:eastAsia="Calibri" w:cs="Arial"/>
        </w:rPr>
        <w:t>each of 1943, 1944, and 1945</w:t>
      </w:r>
      <w:r w:rsidR="00525C4E">
        <w:rPr>
          <w:rFonts w:eastAsia="Calibri" w:cs="Arial"/>
        </w:rPr>
        <w:t>.</w:t>
      </w:r>
      <w:r w:rsidR="00126C1D">
        <w:rPr>
          <w:rStyle w:val="FootnoteReference"/>
          <w:rFonts w:eastAsia="Calibri" w:cs="Arial"/>
        </w:rPr>
        <w:footnoteReference w:id="9"/>
      </w:r>
      <w:r w:rsidR="00525C4E">
        <w:rPr>
          <w:rFonts w:eastAsia="Calibri" w:cs="Arial"/>
        </w:rPr>
        <w:t xml:space="preserve"> </w:t>
      </w:r>
      <w:r w:rsidR="009C0ABC">
        <w:rPr>
          <w:rFonts w:eastAsia="Calibri" w:cs="Arial"/>
        </w:rPr>
        <w:t xml:space="preserve"> The </w:t>
      </w:r>
      <w:r w:rsidR="00473A3D">
        <w:rPr>
          <w:rFonts w:eastAsia="Calibri" w:cs="Arial"/>
        </w:rPr>
        <w:t xml:space="preserve">war’s </w:t>
      </w:r>
      <w:r w:rsidR="009C0ABC">
        <w:rPr>
          <w:rFonts w:eastAsia="Calibri" w:cs="Arial"/>
        </w:rPr>
        <w:t xml:space="preserve">impact was </w:t>
      </w:r>
      <w:r w:rsidR="00473A3D">
        <w:rPr>
          <w:rFonts w:eastAsia="Calibri" w:cs="Arial"/>
        </w:rPr>
        <w:t xml:space="preserve">not as great for older women, whose labor force participation rate rose </w:t>
      </w:r>
      <w:r w:rsidR="00473A3D">
        <w:rPr>
          <w:rFonts w:eastAsia="Calibri" w:cs="Arial"/>
        </w:rPr>
        <w:lastRenderedPageBreak/>
        <w:t xml:space="preserve">from </w:t>
      </w:r>
      <w:r w:rsidR="00291307">
        <w:rPr>
          <w:rFonts w:eastAsia="Calibri" w:cs="Arial"/>
        </w:rPr>
        <w:t xml:space="preserve">16.3 to 21.3 </w:t>
      </w:r>
      <w:r w:rsidR="00F0414F">
        <w:rPr>
          <w:rFonts w:eastAsia="Calibri" w:cs="Arial"/>
        </w:rPr>
        <w:t>for women 45 and older between 1940 and March 1944</w:t>
      </w:r>
      <w:r w:rsidR="00136FF3">
        <w:rPr>
          <w:rFonts w:eastAsia="Calibri" w:cs="Arial"/>
        </w:rPr>
        <w:t xml:space="preserve"> (the closest age bracket available for older women in 1944)</w:t>
      </w:r>
      <w:r w:rsidR="00E329D5">
        <w:rPr>
          <w:rFonts w:eastAsia="Calibri" w:cs="Arial"/>
        </w:rPr>
        <w:t>.</w:t>
      </w:r>
      <w:r w:rsidR="003F519B">
        <w:rPr>
          <w:rStyle w:val="FootnoteReference"/>
          <w:rFonts w:eastAsia="Calibri" w:cs="Arial"/>
        </w:rPr>
        <w:footnoteReference w:id="10"/>
      </w:r>
      <w:r w:rsidR="003F519B">
        <w:rPr>
          <w:rFonts w:eastAsia="Calibri" w:cs="Arial"/>
        </w:rPr>
        <w:t xml:space="preserve">  </w:t>
      </w:r>
    </w:p>
    <w:p w14:paraId="2E2E5093" w14:textId="77777777" w:rsidR="004B6032" w:rsidRDefault="004B6032" w:rsidP="00937AEC">
      <w:pPr>
        <w:rPr>
          <w:rFonts w:eastAsia="Calibri" w:cs="Arial"/>
        </w:rPr>
      </w:pPr>
    </w:p>
    <w:p w14:paraId="582279AC" w14:textId="7AB5DEB9" w:rsidR="00D009D2" w:rsidRDefault="00A61319" w:rsidP="00937AEC">
      <w:pPr>
        <w:rPr>
          <w:rFonts w:eastAsia="Calibri" w:cs="Arial"/>
        </w:rPr>
      </w:pPr>
      <w:r>
        <w:rPr>
          <w:rFonts w:eastAsia="Calibri" w:cs="Arial"/>
        </w:rPr>
        <w:t>Rising paid employment rates continued after the war’s end</w:t>
      </w:r>
      <w:r w:rsidR="00002754">
        <w:rPr>
          <w:rFonts w:eastAsia="Calibri" w:cs="Arial"/>
        </w:rPr>
        <w:t>, and the impact was especially dramatic among women in their late fifties</w:t>
      </w:r>
      <w:r w:rsidR="00CF3FDA">
        <w:rPr>
          <w:rFonts w:eastAsia="Calibri" w:cs="Arial"/>
        </w:rPr>
        <w:t>, whose rates steeply rose</w:t>
      </w:r>
      <w:r w:rsidR="008F5A76">
        <w:rPr>
          <w:rFonts w:eastAsia="Calibri" w:cs="Arial"/>
        </w:rPr>
        <w:t xml:space="preserve"> from </w:t>
      </w:r>
      <w:r w:rsidR="0024210D">
        <w:rPr>
          <w:rFonts w:eastAsia="Calibri" w:cs="Arial"/>
        </w:rPr>
        <w:t xml:space="preserve">18 percent in </w:t>
      </w:r>
      <w:r w:rsidR="008F5A76">
        <w:rPr>
          <w:rFonts w:eastAsia="Calibri" w:cs="Arial"/>
        </w:rPr>
        <w:t xml:space="preserve">1940 </w:t>
      </w:r>
      <w:r w:rsidR="0004333A">
        <w:rPr>
          <w:rFonts w:eastAsia="Calibri" w:cs="Arial"/>
        </w:rPr>
        <w:t xml:space="preserve">to nearly half of all women in this cohort by the end of the 1960s.  </w:t>
      </w:r>
      <w:r w:rsidR="00151260">
        <w:rPr>
          <w:rFonts w:eastAsia="Calibri" w:cs="Arial"/>
        </w:rPr>
        <w:t xml:space="preserve">The trend was less steep for women in their early sixties, but </w:t>
      </w:r>
      <w:r w:rsidR="000409A3">
        <w:rPr>
          <w:rFonts w:eastAsia="Calibri" w:cs="Arial"/>
        </w:rPr>
        <w:t>it rose sharply as well</w:t>
      </w:r>
      <w:r w:rsidR="00185997">
        <w:rPr>
          <w:rFonts w:eastAsia="Calibri" w:cs="Arial"/>
        </w:rPr>
        <w:t xml:space="preserve"> through 1970</w:t>
      </w:r>
      <w:r w:rsidR="007D002E">
        <w:rPr>
          <w:rFonts w:eastAsia="Calibri" w:cs="Arial"/>
        </w:rPr>
        <w:t xml:space="preserve">, as shown in the chart below.  </w:t>
      </w:r>
      <w:r w:rsidR="002E04DC">
        <w:rPr>
          <w:rFonts w:eastAsia="Calibri" w:cs="Arial"/>
        </w:rPr>
        <w:t xml:space="preserve">Employment rates </w:t>
      </w:r>
      <w:r w:rsidR="00185997">
        <w:rPr>
          <w:rFonts w:eastAsia="Calibri" w:cs="Arial"/>
        </w:rPr>
        <w:t xml:space="preserve">then </w:t>
      </w:r>
      <w:r w:rsidR="006618D6">
        <w:rPr>
          <w:rFonts w:eastAsia="Calibri" w:cs="Arial"/>
        </w:rPr>
        <w:t>stalled and for some cohorts dropped for about the next two decades</w:t>
      </w:r>
      <w:r w:rsidR="0034081A">
        <w:rPr>
          <w:rFonts w:eastAsia="Calibri" w:cs="Arial"/>
        </w:rPr>
        <w:t xml:space="preserve"> (repeating the same pattern of the early 20</w:t>
      </w:r>
      <w:r w:rsidR="0034081A" w:rsidRPr="0034081A">
        <w:rPr>
          <w:rFonts w:eastAsia="Calibri" w:cs="Arial"/>
          <w:vertAlign w:val="superscript"/>
        </w:rPr>
        <w:t>th</w:t>
      </w:r>
      <w:r w:rsidR="0034081A">
        <w:rPr>
          <w:rFonts w:eastAsia="Calibri" w:cs="Arial"/>
        </w:rPr>
        <w:t xml:space="preserve"> century)</w:t>
      </w:r>
      <w:r w:rsidR="006618D6">
        <w:rPr>
          <w:rFonts w:eastAsia="Calibri" w:cs="Arial"/>
        </w:rPr>
        <w:t xml:space="preserve">, </w:t>
      </w:r>
      <w:r w:rsidR="00A87B26">
        <w:rPr>
          <w:rFonts w:eastAsia="Calibri" w:cs="Arial"/>
        </w:rPr>
        <w:t xml:space="preserve">before again rising </w:t>
      </w:r>
      <w:r w:rsidR="00D467AA">
        <w:rPr>
          <w:rFonts w:eastAsia="Calibri" w:cs="Arial"/>
        </w:rPr>
        <w:t>significantly</w:t>
      </w:r>
      <w:r w:rsidR="00A87B26">
        <w:rPr>
          <w:rFonts w:eastAsia="Calibri" w:cs="Arial"/>
        </w:rPr>
        <w:t xml:space="preserve"> </w:t>
      </w:r>
      <w:r w:rsidR="003D30A5">
        <w:rPr>
          <w:rFonts w:eastAsia="Calibri" w:cs="Arial"/>
        </w:rPr>
        <w:t xml:space="preserve">for all age groups except those 75 and older.  </w:t>
      </w:r>
    </w:p>
    <w:p w14:paraId="25D7CDF0" w14:textId="77777777" w:rsidR="00C2765C" w:rsidRPr="00104891" w:rsidRDefault="00C2765C" w:rsidP="00937AEC">
      <w:pPr>
        <w:rPr>
          <w:rFonts w:eastAsia="Calibri" w:cs="Arial"/>
        </w:rPr>
      </w:pPr>
    </w:p>
    <w:p w14:paraId="36050F2D" w14:textId="008F281C" w:rsidR="00937AEC" w:rsidRPr="003D3F7A" w:rsidRDefault="003D7ED0" w:rsidP="00937AEC">
      <w:pPr>
        <w:rPr>
          <w:rFonts w:eastAsia="Calibri" w:cs="Arial"/>
        </w:rPr>
      </w:pPr>
      <w:r>
        <w:rPr>
          <w:rFonts w:eastAsia="Calibri" w:cs="Arial"/>
          <w:noProof/>
        </w:rPr>
        <w:drawing>
          <wp:inline distT="0" distB="0" distL="0" distR="0" wp14:anchorId="1F297BB0" wp14:editId="6F007B82">
            <wp:extent cx="7059930" cy="4700270"/>
            <wp:effectExtent l="0" t="0" r="7620" b="5080"/>
            <wp:docPr id="159482815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59930" cy="4700270"/>
                    </a:xfrm>
                    <a:prstGeom prst="rect">
                      <a:avLst/>
                    </a:prstGeom>
                    <a:noFill/>
                  </pic:spPr>
                </pic:pic>
              </a:graphicData>
            </a:graphic>
          </wp:inline>
        </w:drawing>
      </w:r>
    </w:p>
    <w:p w14:paraId="66B1488D" w14:textId="1D1E21DF" w:rsidR="00A64A93" w:rsidRDefault="00A64A93" w:rsidP="00A64A93">
      <w:pPr>
        <w:rPr>
          <w:rFonts w:eastAsia="Calibri" w:cs="Arial"/>
        </w:rPr>
      </w:pPr>
      <w:r w:rsidRPr="003D3F7A">
        <w:rPr>
          <w:rFonts w:eastAsia="Calibri" w:cs="Arial"/>
        </w:rPr>
        <w:t>Sources:  U.S. Census Bureau, decennial censuses, 18</w:t>
      </w:r>
      <w:r>
        <w:rPr>
          <w:rFonts w:eastAsia="Calibri" w:cs="Arial"/>
        </w:rPr>
        <w:t>6</w:t>
      </w:r>
      <w:r w:rsidRPr="003D3F7A">
        <w:rPr>
          <w:rFonts w:eastAsia="Calibri" w:cs="Arial"/>
        </w:rPr>
        <w:t xml:space="preserve">0 through 1960; BLS, annual monthly average from the </w:t>
      </w:r>
      <w:r w:rsidRPr="003D3F7A">
        <w:rPr>
          <w:rFonts w:eastAsia="Calibri" w:cs="Arial"/>
          <w:i/>
          <w:iCs/>
        </w:rPr>
        <w:t>Current Population Survey</w:t>
      </w:r>
      <w:r w:rsidRPr="003D3F7A">
        <w:rPr>
          <w:rFonts w:eastAsia="Calibri" w:cs="Arial"/>
        </w:rPr>
        <w:t xml:space="preserve"> (CPS) for 1967 forward </w:t>
      </w:r>
    </w:p>
    <w:p w14:paraId="29A171CD" w14:textId="77777777" w:rsidR="00F03800" w:rsidRDefault="00F03800" w:rsidP="00A64A93">
      <w:pPr>
        <w:rPr>
          <w:rFonts w:eastAsia="Calibri" w:cs="Arial"/>
        </w:rPr>
      </w:pPr>
    </w:p>
    <w:p w14:paraId="1DB6D50B" w14:textId="39F17C68" w:rsidR="00F03800" w:rsidRPr="003D3F7A" w:rsidRDefault="00640B06" w:rsidP="00A64A93">
      <w:pPr>
        <w:rPr>
          <w:rFonts w:eastAsia="Calibri" w:cs="Arial"/>
        </w:rPr>
      </w:pPr>
      <w:r>
        <w:rPr>
          <w:rFonts w:eastAsia="Calibri" w:cs="Arial"/>
        </w:rPr>
        <w:t xml:space="preserve">Given their rapidly expanding paid employment rates, which </w:t>
      </w:r>
      <w:r w:rsidR="00965FD9">
        <w:rPr>
          <w:rFonts w:eastAsia="Calibri" w:cs="Arial"/>
        </w:rPr>
        <w:t xml:space="preserve">made a much larger proportion of women eligible for Old Age Insurance based upon their own employment </w:t>
      </w:r>
      <w:r w:rsidR="000F6FBF">
        <w:rPr>
          <w:rFonts w:eastAsia="Calibri" w:cs="Arial"/>
        </w:rPr>
        <w:t xml:space="preserve">history than had previously been the case, it is </w:t>
      </w:r>
      <w:r w:rsidR="00080439">
        <w:rPr>
          <w:rFonts w:eastAsia="Calibri" w:cs="Arial"/>
        </w:rPr>
        <w:t xml:space="preserve">possible that </w:t>
      </w:r>
      <w:r w:rsidR="002C6777">
        <w:rPr>
          <w:rFonts w:eastAsia="Calibri" w:cs="Arial"/>
        </w:rPr>
        <w:t>some proportion of the</w:t>
      </w:r>
      <w:r>
        <w:rPr>
          <w:rFonts w:eastAsia="Calibri" w:cs="Arial"/>
        </w:rPr>
        <w:t xml:space="preserve"> </w:t>
      </w:r>
      <w:r w:rsidR="002C6777">
        <w:rPr>
          <w:rFonts w:eastAsia="Calibri" w:cs="Arial"/>
        </w:rPr>
        <w:t xml:space="preserve">stalled/declining employment rate pattern after 1970 was due to </w:t>
      </w:r>
      <w:r w:rsidR="00824A88">
        <w:rPr>
          <w:rFonts w:eastAsia="Calibri" w:cs="Arial"/>
        </w:rPr>
        <w:t>their eligibility for Social Security</w:t>
      </w:r>
      <w:r w:rsidR="00080439">
        <w:rPr>
          <w:rFonts w:eastAsia="Calibri" w:cs="Arial"/>
        </w:rPr>
        <w:t xml:space="preserve">.  This would of course not explain the drop </w:t>
      </w:r>
      <w:r w:rsidR="00B925FB">
        <w:rPr>
          <w:rFonts w:eastAsia="Calibri" w:cs="Arial"/>
        </w:rPr>
        <w:t>for women in their late fifties</w:t>
      </w:r>
      <w:r w:rsidR="001B2501">
        <w:rPr>
          <w:rFonts w:eastAsia="Calibri" w:cs="Arial"/>
        </w:rPr>
        <w:t xml:space="preserve">, however.  </w:t>
      </w:r>
      <w:r w:rsidR="00824A88">
        <w:rPr>
          <w:rFonts w:eastAsia="Calibri" w:cs="Arial"/>
        </w:rPr>
        <w:t xml:space="preserve"> </w:t>
      </w:r>
    </w:p>
    <w:p w14:paraId="0D8D63D2" w14:textId="77777777" w:rsidR="00781935" w:rsidRDefault="00781935">
      <w:pPr>
        <w:rPr>
          <w:rFonts w:cs="Arial"/>
        </w:rPr>
      </w:pPr>
    </w:p>
    <w:p w14:paraId="36066855" w14:textId="77777777" w:rsidR="003B0B33" w:rsidRDefault="003B0B33">
      <w:pPr>
        <w:rPr>
          <w:rFonts w:cs="Arial"/>
          <w:b/>
          <w:bCs/>
        </w:rPr>
      </w:pPr>
      <w:r>
        <w:rPr>
          <w:rFonts w:cs="Arial"/>
          <w:b/>
          <w:bCs/>
        </w:rPr>
        <w:br w:type="page"/>
      </w:r>
    </w:p>
    <w:p w14:paraId="58AD587D" w14:textId="7F8D7A17" w:rsidR="006F5DF2" w:rsidRDefault="005F1BAD">
      <w:pPr>
        <w:rPr>
          <w:rFonts w:cs="Arial"/>
        </w:rPr>
      </w:pPr>
      <w:r>
        <w:rPr>
          <w:rFonts w:cs="Arial"/>
          <w:b/>
          <w:bCs/>
        </w:rPr>
        <w:lastRenderedPageBreak/>
        <w:t xml:space="preserve">Comparing </w:t>
      </w:r>
      <w:r w:rsidR="00C3710F">
        <w:rPr>
          <w:rFonts w:cs="Arial"/>
          <w:b/>
          <w:bCs/>
        </w:rPr>
        <w:t>male and female trends for older individuals.</w:t>
      </w:r>
      <w:r w:rsidR="00C3710F">
        <w:rPr>
          <w:rFonts w:cs="Arial"/>
        </w:rPr>
        <w:t xml:space="preserve">  </w:t>
      </w:r>
      <w:r w:rsidR="004834B1">
        <w:rPr>
          <w:rFonts w:cs="Arial"/>
        </w:rPr>
        <w:t xml:space="preserve">Because </w:t>
      </w:r>
      <w:r w:rsidR="00BB0AC2">
        <w:rPr>
          <w:rFonts w:cs="Arial"/>
        </w:rPr>
        <w:t xml:space="preserve">employment patterns among older women reflect the countervailing impacts of </w:t>
      </w:r>
      <w:r w:rsidR="00F93A2B">
        <w:rPr>
          <w:rFonts w:cs="Arial"/>
        </w:rPr>
        <w:t xml:space="preserve">more pervasive feminist attitudes </w:t>
      </w:r>
      <w:r w:rsidR="00FC47EE">
        <w:rPr>
          <w:rFonts w:cs="Arial"/>
        </w:rPr>
        <w:t xml:space="preserve">toward paid work </w:t>
      </w:r>
      <w:r w:rsidR="00D62361">
        <w:rPr>
          <w:rFonts w:cs="Arial"/>
        </w:rPr>
        <w:t xml:space="preserve">(which raised employment rates) </w:t>
      </w:r>
      <w:r w:rsidR="00FC47EE">
        <w:rPr>
          <w:rFonts w:cs="Arial"/>
        </w:rPr>
        <w:t xml:space="preserve">and eligibility for </w:t>
      </w:r>
      <w:r w:rsidR="00F644C0">
        <w:rPr>
          <w:rFonts w:cs="Arial"/>
        </w:rPr>
        <w:t>Old Age Insurance</w:t>
      </w:r>
      <w:r w:rsidR="00D62361">
        <w:rPr>
          <w:rFonts w:cs="Arial"/>
        </w:rPr>
        <w:t xml:space="preserve"> (which lowered employment rates) -- </w:t>
      </w:r>
      <w:r w:rsidR="00F644C0">
        <w:rPr>
          <w:rFonts w:cs="Arial"/>
        </w:rPr>
        <w:t>in contrast to the simpler societal tre</w:t>
      </w:r>
      <w:r w:rsidR="00BA0C11">
        <w:rPr>
          <w:rFonts w:cs="Arial"/>
        </w:rPr>
        <w:t xml:space="preserve">nds behind </w:t>
      </w:r>
      <w:r w:rsidR="006E6889">
        <w:rPr>
          <w:rFonts w:cs="Arial"/>
        </w:rPr>
        <w:t xml:space="preserve">older </w:t>
      </w:r>
      <w:r w:rsidR="00BA0C11">
        <w:rPr>
          <w:rFonts w:cs="Arial"/>
        </w:rPr>
        <w:t>men’s employment rates</w:t>
      </w:r>
      <w:r w:rsidR="00D62361">
        <w:rPr>
          <w:rFonts w:cs="Arial"/>
        </w:rPr>
        <w:t xml:space="preserve"> --</w:t>
      </w:r>
      <w:r w:rsidR="006E6889">
        <w:rPr>
          <w:rFonts w:cs="Arial"/>
        </w:rPr>
        <w:t xml:space="preserve"> direct</w:t>
      </w:r>
      <w:r w:rsidR="003E236D">
        <w:rPr>
          <w:rFonts w:cs="Arial"/>
        </w:rPr>
        <w:t>ly</w:t>
      </w:r>
      <w:r w:rsidR="006E6889">
        <w:rPr>
          <w:rFonts w:cs="Arial"/>
        </w:rPr>
        <w:t xml:space="preserve"> compar</w:t>
      </w:r>
      <w:r w:rsidR="001A22D7">
        <w:rPr>
          <w:rFonts w:cs="Arial"/>
        </w:rPr>
        <w:t>ing</w:t>
      </w:r>
      <w:r w:rsidR="006E6889">
        <w:rPr>
          <w:rFonts w:cs="Arial"/>
        </w:rPr>
        <w:t xml:space="preserve"> </w:t>
      </w:r>
      <w:r w:rsidR="001A22D7">
        <w:rPr>
          <w:rFonts w:cs="Arial"/>
        </w:rPr>
        <w:t xml:space="preserve">female/male trends for each age cohort can be revealing.  It should also be kept in mind </w:t>
      </w:r>
      <w:r w:rsidR="007F7D35">
        <w:rPr>
          <w:rFonts w:cs="Arial"/>
        </w:rPr>
        <w:t xml:space="preserve">that </w:t>
      </w:r>
      <w:r w:rsidR="00B82BD8">
        <w:rPr>
          <w:rFonts w:cs="Arial"/>
        </w:rPr>
        <w:t xml:space="preserve">because many women and men </w:t>
      </w:r>
      <w:r w:rsidR="005C514B">
        <w:rPr>
          <w:rFonts w:cs="Arial"/>
        </w:rPr>
        <w:t>live in</w:t>
      </w:r>
      <w:r w:rsidR="00B82BD8">
        <w:rPr>
          <w:rFonts w:cs="Arial"/>
        </w:rPr>
        <w:t xml:space="preserve"> </w:t>
      </w:r>
      <w:r w:rsidR="005C514B">
        <w:rPr>
          <w:rFonts w:cs="Arial"/>
        </w:rPr>
        <w:t>married-couple households, their</w:t>
      </w:r>
      <w:r w:rsidR="005C31E8">
        <w:rPr>
          <w:rFonts w:cs="Arial"/>
        </w:rPr>
        <w:t xml:space="preserve"> </w:t>
      </w:r>
      <w:r w:rsidR="007F7D35">
        <w:rPr>
          <w:rFonts w:cs="Arial"/>
        </w:rPr>
        <w:t xml:space="preserve">individual </w:t>
      </w:r>
      <w:r w:rsidR="005C31E8">
        <w:rPr>
          <w:rFonts w:cs="Arial"/>
        </w:rPr>
        <w:t xml:space="preserve">labor market decisions are often determined with the experiences and income of their partner </w:t>
      </w:r>
      <w:r w:rsidR="00B420FD">
        <w:rPr>
          <w:rFonts w:cs="Arial"/>
        </w:rPr>
        <w:t xml:space="preserve">in mind.  Once women became much more likely to have </w:t>
      </w:r>
      <w:r w:rsidR="00E511B2">
        <w:rPr>
          <w:rFonts w:cs="Arial"/>
        </w:rPr>
        <w:t xml:space="preserve">employment </w:t>
      </w:r>
      <w:r w:rsidR="00B420FD">
        <w:rPr>
          <w:rFonts w:cs="Arial"/>
        </w:rPr>
        <w:t xml:space="preserve">careers, it </w:t>
      </w:r>
      <w:r w:rsidR="003C2267">
        <w:rPr>
          <w:rFonts w:cs="Arial"/>
        </w:rPr>
        <w:t xml:space="preserve">isn’t surprising that some </w:t>
      </w:r>
      <w:r w:rsidR="004F5636">
        <w:rPr>
          <w:rFonts w:cs="Arial"/>
        </w:rPr>
        <w:t>couples</w:t>
      </w:r>
      <w:r w:rsidR="003C2267">
        <w:rPr>
          <w:rFonts w:cs="Arial"/>
        </w:rPr>
        <w:t xml:space="preserve"> re</w:t>
      </w:r>
      <w:r w:rsidR="004F5636">
        <w:rPr>
          <w:rFonts w:cs="Arial"/>
        </w:rPr>
        <w:t>configured</w:t>
      </w:r>
      <w:r w:rsidR="003C2267">
        <w:rPr>
          <w:rFonts w:cs="Arial"/>
        </w:rPr>
        <w:t xml:space="preserve"> general roles in which </w:t>
      </w:r>
      <w:r w:rsidR="004F5636">
        <w:rPr>
          <w:rFonts w:cs="Arial"/>
        </w:rPr>
        <w:t>women were sometimes more likely to work than men</w:t>
      </w:r>
      <w:r w:rsidR="00E511B2">
        <w:rPr>
          <w:rFonts w:cs="Arial"/>
        </w:rPr>
        <w:t xml:space="preserve">.  </w:t>
      </w:r>
      <w:r w:rsidR="00426D4B">
        <w:rPr>
          <w:rFonts w:cs="Arial"/>
        </w:rPr>
        <w:t xml:space="preserve">In general, men are likely to be somewhat older than their female partners (and </w:t>
      </w:r>
      <w:r w:rsidR="00835D1A">
        <w:rPr>
          <w:rFonts w:cs="Arial"/>
        </w:rPr>
        <w:t xml:space="preserve">also more likely to die sooner, based upon both </w:t>
      </w:r>
      <w:r w:rsidR="004806FE">
        <w:rPr>
          <w:rFonts w:cs="Arial"/>
        </w:rPr>
        <w:t xml:space="preserve">their older </w:t>
      </w:r>
      <w:r w:rsidR="00835D1A">
        <w:rPr>
          <w:rFonts w:cs="Arial"/>
        </w:rPr>
        <w:t xml:space="preserve">age and lesser life </w:t>
      </w:r>
      <w:r w:rsidR="00B0222E">
        <w:rPr>
          <w:rFonts w:cs="Arial"/>
        </w:rPr>
        <w:t xml:space="preserve">expectancy), and such factors also influence decisions about whether to remain employed later in life. </w:t>
      </w:r>
    </w:p>
    <w:p w14:paraId="6A6BC324" w14:textId="77777777" w:rsidR="006F5DF2" w:rsidRDefault="006F5DF2">
      <w:pPr>
        <w:rPr>
          <w:rFonts w:cs="Arial"/>
        </w:rPr>
      </w:pPr>
    </w:p>
    <w:p w14:paraId="3D735ED7" w14:textId="27177E91" w:rsidR="0034081A" w:rsidRDefault="006F5DF2">
      <w:pPr>
        <w:rPr>
          <w:rFonts w:cs="Arial"/>
        </w:rPr>
      </w:pPr>
      <w:r>
        <w:rPr>
          <w:rFonts w:cs="Arial"/>
        </w:rPr>
        <w:t xml:space="preserve">The series of five charts below tracks female/male differences for </w:t>
      </w:r>
      <w:r w:rsidR="00FE078E">
        <w:rPr>
          <w:rFonts w:cs="Arial"/>
        </w:rPr>
        <w:t xml:space="preserve">each age cohort.  In general, the patterns reflect </w:t>
      </w:r>
      <w:r w:rsidR="005B7F9D">
        <w:rPr>
          <w:rFonts w:cs="Arial"/>
        </w:rPr>
        <w:t xml:space="preserve">falling male employment rates for every cohort, although the pattern differs for women. </w:t>
      </w:r>
      <w:r w:rsidR="001066F7">
        <w:rPr>
          <w:rFonts w:cs="Arial"/>
        </w:rPr>
        <w:t xml:space="preserve">Through roughly age 74, women’s employment rates rose during the post World War II </w:t>
      </w:r>
      <w:r w:rsidR="00880C90">
        <w:rPr>
          <w:rFonts w:cs="Arial"/>
        </w:rPr>
        <w:t xml:space="preserve">period </w:t>
      </w:r>
      <w:r w:rsidR="00C974F9">
        <w:rPr>
          <w:rFonts w:cs="Arial"/>
        </w:rPr>
        <w:t>– although to a much lesser degree for 70 to 74 year-old women, whose increase also occurred much more recently</w:t>
      </w:r>
      <w:r w:rsidR="008F266A">
        <w:rPr>
          <w:rFonts w:cs="Arial"/>
        </w:rPr>
        <w:t xml:space="preserve">.  </w:t>
      </w:r>
      <w:r w:rsidR="005C514B">
        <w:rPr>
          <w:rFonts w:cs="Arial"/>
        </w:rPr>
        <w:t xml:space="preserve"> </w:t>
      </w:r>
      <w:r w:rsidR="00A863AD">
        <w:rPr>
          <w:rFonts w:cs="Arial"/>
        </w:rPr>
        <w:t xml:space="preserve">For women 75 and older, there has been relatively little change in employment rates over the past century.  </w:t>
      </w:r>
    </w:p>
    <w:p w14:paraId="0FC64255" w14:textId="77777777" w:rsidR="00C85EBD" w:rsidRDefault="00C85EBD">
      <w:pPr>
        <w:rPr>
          <w:rFonts w:cs="Arial"/>
        </w:rPr>
      </w:pPr>
    </w:p>
    <w:p w14:paraId="3ACEC60C" w14:textId="2DB03ADD" w:rsidR="00C85EBD" w:rsidRDefault="00C85EBD">
      <w:pPr>
        <w:rPr>
          <w:rFonts w:cs="Arial"/>
        </w:rPr>
      </w:pPr>
      <w:r>
        <w:rPr>
          <w:rFonts w:cs="Arial"/>
        </w:rPr>
        <w:t xml:space="preserve">The trends for each cohort are </w:t>
      </w:r>
      <w:r w:rsidR="001025F7">
        <w:rPr>
          <w:rFonts w:cs="Arial"/>
        </w:rPr>
        <w:t xml:space="preserve">summarized in the heading in each chart below. </w:t>
      </w:r>
    </w:p>
    <w:p w14:paraId="39750F70" w14:textId="77777777" w:rsidR="005B1DD0" w:rsidRPr="00C3710F" w:rsidRDefault="005B1DD0">
      <w:pPr>
        <w:rPr>
          <w:rFonts w:cs="Arial"/>
        </w:rPr>
      </w:pPr>
    </w:p>
    <w:p w14:paraId="6BC5A9F8" w14:textId="1E5BC085" w:rsidR="00781935" w:rsidRDefault="000062BE">
      <w:pPr>
        <w:rPr>
          <w:rFonts w:cs="Arial"/>
        </w:rPr>
      </w:pPr>
      <w:r>
        <w:rPr>
          <w:rFonts w:cs="Arial"/>
          <w:noProof/>
        </w:rPr>
        <w:drawing>
          <wp:inline distT="0" distB="0" distL="0" distR="0" wp14:anchorId="2314E093" wp14:editId="2BE2296B">
            <wp:extent cx="7187565" cy="3895725"/>
            <wp:effectExtent l="0" t="0" r="0" b="9525"/>
            <wp:docPr id="28808505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87565" cy="3895725"/>
                    </a:xfrm>
                    <a:prstGeom prst="rect">
                      <a:avLst/>
                    </a:prstGeom>
                    <a:noFill/>
                  </pic:spPr>
                </pic:pic>
              </a:graphicData>
            </a:graphic>
          </wp:inline>
        </w:drawing>
      </w:r>
    </w:p>
    <w:p w14:paraId="289F302C" w14:textId="3768F127" w:rsidR="00815C25" w:rsidRPr="003D3F7A" w:rsidRDefault="00815C25" w:rsidP="00815C25">
      <w:pPr>
        <w:rPr>
          <w:rFonts w:eastAsia="Calibri" w:cs="Arial"/>
        </w:rPr>
      </w:pPr>
      <w:r w:rsidRPr="003D3F7A">
        <w:rPr>
          <w:rFonts w:eastAsia="Calibri" w:cs="Arial"/>
        </w:rPr>
        <w:t xml:space="preserve">Sources:  U.S. Census Bureau, decennial censuses, 1850 through 1960; BLS, annual monthly average from the </w:t>
      </w:r>
      <w:r w:rsidRPr="003D3F7A">
        <w:rPr>
          <w:rFonts w:eastAsia="Calibri" w:cs="Arial"/>
          <w:i/>
          <w:iCs/>
        </w:rPr>
        <w:t>Current Population Survey</w:t>
      </w:r>
      <w:r w:rsidRPr="003D3F7A">
        <w:rPr>
          <w:rFonts w:eastAsia="Calibri" w:cs="Arial"/>
        </w:rPr>
        <w:t xml:space="preserve"> (CPS) for 1967 forward </w:t>
      </w:r>
    </w:p>
    <w:p w14:paraId="22B80345" w14:textId="77777777" w:rsidR="000062BE" w:rsidRDefault="000062BE">
      <w:pPr>
        <w:rPr>
          <w:rFonts w:cs="Arial"/>
        </w:rPr>
      </w:pPr>
    </w:p>
    <w:p w14:paraId="31B2E96C" w14:textId="77777777" w:rsidR="009D64AB" w:rsidRDefault="009D64AB">
      <w:pPr>
        <w:rPr>
          <w:rFonts w:cs="Arial"/>
        </w:rPr>
      </w:pPr>
    </w:p>
    <w:p w14:paraId="1E13B678" w14:textId="500720A4" w:rsidR="00815C25" w:rsidRDefault="009D64AB">
      <w:pPr>
        <w:rPr>
          <w:rFonts w:cs="Arial"/>
        </w:rPr>
      </w:pPr>
      <w:r>
        <w:rPr>
          <w:rFonts w:cs="Arial"/>
          <w:noProof/>
        </w:rPr>
        <w:lastRenderedPageBreak/>
        <w:drawing>
          <wp:inline distT="0" distB="0" distL="0" distR="0" wp14:anchorId="6D97539F" wp14:editId="0FBFE6D5">
            <wp:extent cx="7254875" cy="3902075"/>
            <wp:effectExtent l="0" t="0" r="3175" b="3175"/>
            <wp:docPr id="162795198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254875" cy="3902075"/>
                    </a:xfrm>
                    <a:prstGeom prst="rect">
                      <a:avLst/>
                    </a:prstGeom>
                    <a:noFill/>
                  </pic:spPr>
                </pic:pic>
              </a:graphicData>
            </a:graphic>
          </wp:inline>
        </w:drawing>
      </w:r>
    </w:p>
    <w:p w14:paraId="1CEA4B10" w14:textId="6CDEB8EB" w:rsidR="000560C2" w:rsidRDefault="000560C2" w:rsidP="000560C2">
      <w:pPr>
        <w:rPr>
          <w:rFonts w:eastAsia="Calibri" w:cs="Arial"/>
        </w:rPr>
      </w:pPr>
      <w:r w:rsidRPr="003D3F7A">
        <w:rPr>
          <w:rFonts w:eastAsia="Calibri" w:cs="Arial"/>
        </w:rPr>
        <w:t xml:space="preserve">Sources:  U.S. Census Bureau, decennial censuses, 1850 through 1960; BLS, annual monthly average from the </w:t>
      </w:r>
      <w:r w:rsidRPr="003D3F7A">
        <w:rPr>
          <w:rFonts w:eastAsia="Calibri" w:cs="Arial"/>
          <w:i/>
          <w:iCs/>
        </w:rPr>
        <w:t>Current Population Survey</w:t>
      </w:r>
      <w:r w:rsidRPr="003D3F7A">
        <w:rPr>
          <w:rFonts w:eastAsia="Calibri" w:cs="Arial"/>
        </w:rPr>
        <w:t xml:space="preserve"> (CPS) for 1967 forward </w:t>
      </w:r>
    </w:p>
    <w:p w14:paraId="2B2C8010" w14:textId="77777777" w:rsidR="00AA7306" w:rsidRDefault="00AA7306" w:rsidP="000560C2">
      <w:pPr>
        <w:rPr>
          <w:rFonts w:eastAsia="Calibri" w:cs="Arial"/>
        </w:rPr>
      </w:pPr>
    </w:p>
    <w:p w14:paraId="26157A02" w14:textId="2169F21F" w:rsidR="000560C2" w:rsidRDefault="00AF538A">
      <w:pPr>
        <w:rPr>
          <w:rFonts w:cs="Arial"/>
        </w:rPr>
      </w:pPr>
      <w:r>
        <w:rPr>
          <w:rFonts w:cs="Arial"/>
          <w:noProof/>
        </w:rPr>
        <w:drawing>
          <wp:inline distT="0" distB="0" distL="0" distR="0" wp14:anchorId="35F83003" wp14:editId="39AC4899">
            <wp:extent cx="7273290" cy="3895725"/>
            <wp:effectExtent l="0" t="0" r="3810" b="9525"/>
            <wp:docPr id="142155684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273290" cy="3895725"/>
                    </a:xfrm>
                    <a:prstGeom prst="rect">
                      <a:avLst/>
                    </a:prstGeom>
                    <a:noFill/>
                  </pic:spPr>
                </pic:pic>
              </a:graphicData>
            </a:graphic>
          </wp:inline>
        </w:drawing>
      </w:r>
    </w:p>
    <w:p w14:paraId="3A36072E" w14:textId="4FF840A8" w:rsidR="00AF538A" w:rsidRDefault="00AF538A" w:rsidP="00AF538A">
      <w:pPr>
        <w:rPr>
          <w:rFonts w:eastAsia="Calibri" w:cs="Arial"/>
        </w:rPr>
      </w:pPr>
      <w:r w:rsidRPr="003D3F7A">
        <w:rPr>
          <w:rFonts w:eastAsia="Calibri" w:cs="Arial"/>
        </w:rPr>
        <w:t xml:space="preserve">Sources:  U.S. Census Bureau, decennial censuses, 1850 through 1960; BLS, annual monthly average from the </w:t>
      </w:r>
      <w:r w:rsidRPr="003D3F7A">
        <w:rPr>
          <w:rFonts w:eastAsia="Calibri" w:cs="Arial"/>
          <w:i/>
          <w:iCs/>
        </w:rPr>
        <w:t>Current Population Survey</w:t>
      </w:r>
      <w:r w:rsidRPr="003D3F7A">
        <w:rPr>
          <w:rFonts w:eastAsia="Calibri" w:cs="Arial"/>
        </w:rPr>
        <w:t xml:space="preserve"> (CPS) for 1967 forward </w:t>
      </w:r>
    </w:p>
    <w:p w14:paraId="26297624" w14:textId="77777777" w:rsidR="000560C2" w:rsidRDefault="000560C2">
      <w:pPr>
        <w:rPr>
          <w:rFonts w:cs="Arial"/>
        </w:rPr>
      </w:pPr>
    </w:p>
    <w:p w14:paraId="068289A9" w14:textId="77777777" w:rsidR="00AF538A" w:rsidRDefault="00AF538A">
      <w:pPr>
        <w:rPr>
          <w:rFonts w:cs="Arial"/>
        </w:rPr>
      </w:pPr>
    </w:p>
    <w:p w14:paraId="527619CD" w14:textId="5B275BBE" w:rsidR="00AF538A" w:rsidRDefault="00027E55">
      <w:pPr>
        <w:rPr>
          <w:rFonts w:cs="Arial"/>
        </w:rPr>
      </w:pPr>
      <w:r>
        <w:rPr>
          <w:rFonts w:cs="Arial"/>
          <w:noProof/>
        </w:rPr>
        <w:drawing>
          <wp:inline distT="0" distB="0" distL="0" distR="0" wp14:anchorId="56450C96" wp14:editId="5E576E17">
            <wp:extent cx="7285355" cy="3895725"/>
            <wp:effectExtent l="0" t="0" r="0" b="9525"/>
            <wp:docPr id="29915192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285355" cy="3895725"/>
                    </a:xfrm>
                    <a:prstGeom prst="rect">
                      <a:avLst/>
                    </a:prstGeom>
                    <a:noFill/>
                  </pic:spPr>
                </pic:pic>
              </a:graphicData>
            </a:graphic>
          </wp:inline>
        </w:drawing>
      </w:r>
    </w:p>
    <w:p w14:paraId="249F7CDA" w14:textId="01D53E8F" w:rsidR="00027E55" w:rsidRDefault="00027E55" w:rsidP="00027E55">
      <w:pPr>
        <w:rPr>
          <w:rFonts w:eastAsia="Calibri" w:cs="Arial"/>
        </w:rPr>
      </w:pPr>
      <w:r w:rsidRPr="003D3F7A">
        <w:rPr>
          <w:rFonts w:eastAsia="Calibri" w:cs="Arial"/>
        </w:rPr>
        <w:t xml:space="preserve">Sources:  U.S. Census Bureau, decennial censuses, 1850 through 1960; BLS, annual monthly average from the </w:t>
      </w:r>
      <w:r w:rsidRPr="003D3F7A">
        <w:rPr>
          <w:rFonts w:eastAsia="Calibri" w:cs="Arial"/>
          <w:i/>
          <w:iCs/>
        </w:rPr>
        <w:t>Current Population Survey</w:t>
      </w:r>
      <w:r w:rsidRPr="003D3F7A">
        <w:rPr>
          <w:rFonts w:eastAsia="Calibri" w:cs="Arial"/>
        </w:rPr>
        <w:t xml:space="preserve"> (CPS) for 1967 forward </w:t>
      </w:r>
    </w:p>
    <w:p w14:paraId="5DECF19D" w14:textId="77777777" w:rsidR="00B03457" w:rsidRDefault="00B03457" w:rsidP="00027E55">
      <w:pPr>
        <w:rPr>
          <w:rFonts w:eastAsia="Calibri" w:cs="Arial"/>
        </w:rPr>
      </w:pPr>
    </w:p>
    <w:p w14:paraId="4BB4C14B" w14:textId="28F8F362" w:rsidR="000062BE" w:rsidRDefault="00237008">
      <w:pPr>
        <w:rPr>
          <w:rFonts w:cs="Arial"/>
        </w:rPr>
      </w:pPr>
      <w:r>
        <w:rPr>
          <w:rFonts w:cs="Arial"/>
          <w:noProof/>
        </w:rPr>
        <w:drawing>
          <wp:inline distT="0" distB="0" distL="0" distR="0" wp14:anchorId="013B8B8D" wp14:editId="0A88462D">
            <wp:extent cx="7285355" cy="3902075"/>
            <wp:effectExtent l="0" t="0" r="0" b="3175"/>
            <wp:docPr id="175499090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285355" cy="3902075"/>
                    </a:xfrm>
                    <a:prstGeom prst="rect">
                      <a:avLst/>
                    </a:prstGeom>
                    <a:noFill/>
                  </pic:spPr>
                </pic:pic>
              </a:graphicData>
            </a:graphic>
          </wp:inline>
        </w:drawing>
      </w:r>
    </w:p>
    <w:p w14:paraId="49B20601" w14:textId="6CCD9909" w:rsidR="00237008" w:rsidRDefault="00237008" w:rsidP="00237008">
      <w:pPr>
        <w:rPr>
          <w:rFonts w:eastAsia="Calibri" w:cs="Arial"/>
        </w:rPr>
      </w:pPr>
      <w:r w:rsidRPr="003D3F7A">
        <w:rPr>
          <w:rFonts w:eastAsia="Calibri" w:cs="Arial"/>
        </w:rPr>
        <w:t xml:space="preserve">Sources:  U.S. Census Bureau, decennial censuses, 1850 through 1960; BLS, annual monthly average from the </w:t>
      </w:r>
      <w:r w:rsidRPr="003D3F7A">
        <w:rPr>
          <w:rFonts w:eastAsia="Calibri" w:cs="Arial"/>
          <w:i/>
          <w:iCs/>
        </w:rPr>
        <w:t>Current Population Survey</w:t>
      </w:r>
      <w:r w:rsidRPr="003D3F7A">
        <w:rPr>
          <w:rFonts w:eastAsia="Calibri" w:cs="Arial"/>
        </w:rPr>
        <w:t xml:space="preserve"> (CPS) for 1967 forward </w:t>
      </w:r>
    </w:p>
    <w:p w14:paraId="30AE6E10" w14:textId="77777777" w:rsidR="000062BE" w:rsidRDefault="000062BE">
      <w:pPr>
        <w:rPr>
          <w:rFonts w:cs="Arial"/>
        </w:rPr>
      </w:pPr>
    </w:p>
    <w:p w14:paraId="129CC435" w14:textId="0890CE94" w:rsidR="00C202AB" w:rsidRPr="003D3F7A" w:rsidRDefault="00C202AB" w:rsidP="00C202AB">
      <w:pPr>
        <w:rPr>
          <w:rFonts w:cs="Arial"/>
          <w:color w:val="008EC0"/>
        </w:rPr>
      </w:pPr>
      <w:r>
        <w:rPr>
          <w:rFonts w:cs="Arial"/>
          <w:b/>
          <w:bCs/>
          <w:color w:val="008EC0"/>
        </w:rPr>
        <w:t xml:space="preserve">INTERNATIONAL COMPARISONS </w:t>
      </w:r>
    </w:p>
    <w:p w14:paraId="4287F81F" w14:textId="77777777" w:rsidR="000062BE" w:rsidRDefault="000062BE">
      <w:pPr>
        <w:rPr>
          <w:rFonts w:cs="Arial"/>
        </w:rPr>
      </w:pPr>
    </w:p>
    <w:p w14:paraId="2D902F9B" w14:textId="158A53FB" w:rsidR="000062BE" w:rsidRDefault="00CF2EFD">
      <w:pPr>
        <w:rPr>
          <w:rFonts w:cs="Arial"/>
        </w:rPr>
      </w:pPr>
      <w:r>
        <w:rPr>
          <w:rFonts w:cs="Arial"/>
        </w:rPr>
        <w:t xml:space="preserve">In an international context, the </w:t>
      </w:r>
      <w:r w:rsidR="0043315D">
        <w:rPr>
          <w:rFonts w:cs="Arial"/>
        </w:rPr>
        <w:t>U.S. performance is poor in terms of life expectancy at birth</w:t>
      </w:r>
      <w:r w:rsidR="00A3105B">
        <w:rPr>
          <w:rFonts w:cs="Arial"/>
        </w:rPr>
        <w:t xml:space="preserve">, </w:t>
      </w:r>
      <w:r w:rsidR="0004793E">
        <w:rPr>
          <w:rFonts w:cs="Arial"/>
        </w:rPr>
        <w:t xml:space="preserve">its relatively high normal age of retirement, </w:t>
      </w:r>
      <w:r w:rsidR="00B261BD">
        <w:rPr>
          <w:rFonts w:cs="Arial"/>
        </w:rPr>
        <w:t xml:space="preserve">and </w:t>
      </w:r>
      <w:r w:rsidR="0004793E">
        <w:rPr>
          <w:rFonts w:cs="Arial"/>
        </w:rPr>
        <w:t xml:space="preserve">the difference between the retirement age and life </w:t>
      </w:r>
      <w:r w:rsidR="00B261BD">
        <w:rPr>
          <w:rFonts w:cs="Arial"/>
        </w:rPr>
        <w:t xml:space="preserve">expectancy.  </w:t>
      </w:r>
      <w:r w:rsidR="0097646A">
        <w:rPr>
          <w:rFonts w:cs="Arial"/>
        </w:rPr>
        <w:t xml:space="preserve">The “International” tab of the first attachment above shows basic background and selected trends for several dozen countries, including </w:t>
      </w:r>
      <w:r w:rsidR="00164388">
        <w:rPr>
          <w:rFonts w:cs="Arial"/>
        </w:rPr>
        <w:t xml:space="preserve">the world’s advanced economies. </w:t>
      </w:r>
      <w:r w:rsidR="00D84750">
        <w:rPr>
          <w:rFonts w:cs="Arial"/>
        </w:rPr>
        <w:t xml:space="preserve">We first review international trends in several key areas, </w:t>
      </w:r>
      <w:r w:rsidR="006F4997">
        <w:rPr>
          <w:rFonts w:cs="Arial"/>
        </w:rPr>
        <w:t xml:space="preserve">placing the U.S. patterns within </w:t>
      </w:r>
      <w:r w:rsidR="00A549AA">
        <w:rPr>
          <w:rFonts w:cs="Arial"/>
        </w:rPr>
        <w:t xml:space="preserve">that context, and then present more detailed findings by age group. </w:t>
      </w:r>
    </w:p>
    <w:p w14:paraId="6CD5C18B" w14:textId="77777777" w:rsidR="00A549AA" w:rsidRDefault="00A549AA">
      <w:pPr>
        <w:rPr>
          <w:rFonts w:cs="Arial"/>
        </w:rPr>
      </w:pPr>
    </w:p>
    <w:p w14:paraId="3C2A4992" w14:textId="155A3662" w:rsidR="00A549AA" w:rsidRDefault="0081405D">
      <w:pPr>
        <w:rPr>
          <w:rFonts w:cs="Arial"/>
        </w:rPr>
      </w:pPr>
      <w:r>
        <w:rPr>
          <w:rFonts w:cs="Arial"/>
        </w:rPr>
        <w:t xml:space="preserve">Better public health </w:t>
      </w:r>
      <w:r w:rsidR="003E2D16">
        <w:rPr>
          <w:rFonts w:cs="Arial"/>
        </w:rPr>
        <w:t xml:space="preserve">policies and improved medical care have raised life expectancy at birth throughout the </w:t>
      </w:r>
      <w:r w:rsidR="0091000D">
        <w:rPr>
          <w:rFonts w:cs="Arial"/>
        </w:rPr>
        <w:t xml:space="preserve">entire </w:t>
      </w:r>
      <w:r w:rsidR="00224F9A">
        <w:rPr>
          <w:rFonts w:cs="Arial"/>
        </w:rPr>
        <w:t xml:space="preserve">world.  </w:t>
      </w:r>
      <w:r w:rsidR="00700EE9">
        <w:rPr>
          <w:rFonts w:cs="Arial"/>
        </w:rPr>
        <w:t xml:space="preserve">Unfortunately, the U.S. </w:t>
      </w:r>
      <w:r w:rsidR="00FB6B39">
        <w:rPr>
          <w:rFonts w:cs="Arial"/>
        </w:rPr>
        <w:t xml:space="preserve">average </w:t>
      </w:r>
      <w:r w:rsidR="008D2754">
        <w:rPr>
          <w:rFonts w:cs="Arial"/>
        </w:rPr>
        <w:t>is</w:t>
      </w:r>
      <w:r w:rsidR="00FB6B39">
        <w:rPr>
          <w:rFonts w:cs="Arial"/>
        </w:rPr>
        <w:t xml:space="preserve"> significantly below the average for the several dozen countries tracked (</w:t>
      </w:r>
      <w:r w:rsidR="0027438B">
        <w:rPr>
          <w:rFonts w:cs="Arial"/>
        </w:rPr>
        <w:t xml:space="preserve">3.7 years below the median </w:t>
      </w:r>
      <w:r w:rsidR="009B4981">
        <w:rPr>
          <w:rFonts w:cs="Arial"/>
        </w:rPr>
        <w:t>for 2021/2022</w:t>
      </w:r>
      <w:r w:rsidR="0027438B">
        <w:rPr>
          <w:rFonts w:cs="Arial"/>
        </w:rPr>
        <w:t xml:space="preserve">), and the U.S. position </w:t>
      </w:r>
      <w:r w:rsidR="009B4981">
        <w:rPr>
          <w:rFonts w:cs="Arial"/>
        </w:rPr>
        <w:t xml:space="preserve">deteriorated as a result of its poor public health policies during the pandemic.  As noted above, even </w:t>
      </w:r>
      <w:r w:rsidR="003B6FEB">
        <w:rPr>
          <w:rFonts w:cs="Arial"/>
        </w:rPr>
        <w:t xml:space="preserve">for the decade prior to the pandemic, U.S. life expectancy had stagnated for about a </w:t>
      </w:r>
      <w:r w:rsidR="00227FE4">
        <w:rPr>
          <w:rFonts w:cs="Arial"/>
        </w:rPr>
        <w:t xml:space="preserve">decade.  </w:t>
      </w:r>
    </w:p>
    <w:p w14:paraId="4C42B066" w14:textId="77777777" w:rsidR="00227FE4" w:rsidRDefault="00227FE4">
      <w:pPr>
        <w:rPr>
          <w:rFonts w:cs="Arial"/>
        </w:rPr>
      </w:pPr>
    </w:p>
    <w:p w14:paraId="29A15645" w14:textId="087063A1" w:rsidR="000B6B85" w:rsidRDefault="00262DF2">
      <w:pPr>
        <w:rPr>
          <w:rFonts w:cs="Arial"/>
        </w:rPr>
      </w:pPr>
      <w:r>
        <w:rPr>
          <w:rFonts w:cs="Arial"/>
        </w:rPr>
        <w:t xml:space="preserve">The median normal </w:t>
      </w:r>
      <w:r w:rsidR="009E0EB2">
        <w:rPr>
          <w:rFonts w:cs="Arial"/>
        </w:rPr>
        <w:t xml:space="preserve">Social Security </w:t>
      </w:r>
      <w:r>
        <w:rPr>
          <w:rFonts w:cs="Arial"/>
        </w:rPr>
        <w:t xml:space="preserve">retirement age for the countries tracked </w:t>
      </w:r>
      <w:r w:rsidR="002B05C1">
        <w:rPr>
          <w:rFonts w:cs="Arial"/>
        </w:rPr>
        <w:t>is</w:t>
      </w:r>
      <w:r>
        <w:rPr>
          <w:rFonts w:cs="Arial"/>
        </w:rPr>
        <w:t xml:space="preserve"> </w:t>
      </w:r>
      <w:r w:rsidR="00176DDE">
        <w:rPr>
          <w:rFonts w:cs="Arial"/>
        </w:rPr>
        <w:t xml:space="preserve">65, with a median early retirement age of 62.  </w:t>
      </w:r>
      <w:r w:rsidR="009E69AE">
        <w:rPr>
          <w:rFonts w:cs="Arial"/>
        </w:rPr>
        <w:t>Several countries have raised their normal retirement age</w:t>
      </w:r>
      <w:r w:rsidR="007E16C5">
        <w:rPr>
          <w:rFonts w:cs="Arial"/>
        </w:rPr>
        <w:t xml:space="preserve"> because of growing longevity</w:t>
      </w:r>
      <w:r w:rsidR="00816FB9">
        <w:rPr>
          <w:rFonts w:cs="Arial"/>
        </w:rPr>
        <w:t>, with Denmark’s age 74 at the high</w:t>
      </w:r>
      <w:r w:rsidR="008416C1">
        <w:rPr>
          <w:rFonts w:cs="Arial"/>
        </w:rPr>
        <w:t xml:space="preserve"> end</w:t>
      </w:r>
      <w:r w:rsidR="00592401">
        <w:rPr>
          <w:rFonts w:cs="Arial"/>
        </w:rPr>
        <w:t xml:space="preserve">.  Somewhat surprisingly, </w:t>
      </w:r>
      <w:r w:rsidR="00463CAF">
        <w:rPr>
          <w:rFonts w:cs="Arial"/>
        </w:rPr>
        <w:t xml:space="preserve">the two most prosperous East Asian countries with extremely high employment rates for the oldest of the </w:t>
      </w:r>
      <w:r w:rsidR="009F58BC">
        <w:rPr>
          <w:rFonts w:cs="Arial"/>
        </w:rPr>
        <w:t xml:space="preserve">elderly – Japan and Korea – have a relatively low normal retirement age of 65.  </w:t>
      </w:r>
      <w:r w:rsidR="00CC70C2">
        <w:rPr>
          <w:rFonts w:cs="Arial"/>
        </w:rPr>
        <w:t xml:space="preserve">The future normal U.S. retirement age of 67 is </w:t>
      </w:r>
      <w:r w:rsidR="000B6B85">
        <w:rPr>
          <w:rFonts w:cs="Arial"/>
        </w:rPr>
        <w:t xml:space="preserve">two years </w:t>
      </w:r>
      <w:r w:rsidR="00CC70C2">
        <w:rPr>
          <w:rFonts w:cs="Arial"/>
        </w:rPr>
        <w:t xml:space="preserve">above the </w:t>
      </w:r>
      <w:r w:rsidR="007D2DA0">
        <w:rPr>
          <w:rFonts w:cs="Arial"/>
        </w:rPr>
        <w:t xml:space="preserve">median country. </w:t>
      </w:r>
    </w:p>
    <w:p w14:paraId="599BCF50" w14:textId="77777777" w:rsidR="000B6B85" w:rsidRDefault="000B6B85">
      <w:pPr>
        <w:rPr>
          <w:rFonts w:cs="Arial"/>
        </w:rPr>
      </w:pPr>
    </w:p>
    <w:p w14:paraId="0BCE633D" w14:textId="362585FF" w:rsidR="00227FE4" w:rsidRDefault="000B6B85">
      <w:pPr>
        <w:rPr>
          <w:rFonts w:cs="Arial"/>
        </w:rPr>
      </w:pPr>
      <w:r>
        <w:rPr>
          <w:rFonts w:cs="Arial"/>
        </w:rPr>
        <w:t xml:space="preserve">By </w:t>
      </w:r>
      <w:r w:rsidR="00544A7D">
        <w:rPr>
          <w:rFonts w:cs="Arial"/>
        </w:rPr>
        <w:t>comparing life expectancy with the normal retirement age, we can estimate the relative generosity</w:t>
      </w:r>
      <w:r w:rsidR="007D2DA0">
        <w:rPr>
          <w:rFonts w:cs="Arial"/>
        </w:rPr>
        <w:t xml:space="preserve"> </w:t>
      </w:r>
      <w:r w:rsidR="00A42538">
        <w:rPr>
          <w:rFonts w:cs="Arial"/>
        </w:rPr>
        <w:t xml:space="preserve">of various countries in terms of the expected duration of Social Security </w:t>
      </w:r>
      <w:r w:rsidR="00290262">
        <w:rPr>
          <w:rFonts w:cs="Arial"/>
        </w:rPr>
        <w:t>benefits for individuals</w:t>
      </w:r>
      <w:r w:rsidR="00FB5B73">
        <w:rPr>
          <w:rFonts w:cs="Arial"/>
        </w:rPr>
        <w:t xml:space="preserve">:  median life expectancy at birth is nearly 15 years higher than the median </w:t>
      </w:r>
      <w:r w:rsidR="009E0EB2">
        <w:rPr>
          <w:rFonts w:cs="Arial"/>
        </w:rPr>
        <w:t>Social Security retirement age</w:t>
      </w:r>
      <w:r w:rsidR="00290262">
        <w:rPr>
          <w:rFonts w:cs="Arial"/>
        </w:rPr>
        <w:t xml:space="preserve">.  This is significantly </w:t>
      </w:r>
      <w:r w:rsidR="00D84CD1">
        <w:rPr>
          <w:rFonts w:cs="Arial"/>
        </w:rPr>
        <w:t xml:space="preserve">greater </w:t>
      </w:r>
      <w:r w:rsidR="002B1A30">
        <w:rPr>
          <w:rFonts w:cs="Arial"/>
        </w:rPr>
        <w:t xml:space="preserve">than the 10.5 years in the U.S., 4.3 years less than the median </w:t>
      </w:r>
      <w:r w:rsidR="001B3C2F">
        <w:rPr>
          <w:rFonts w:cs="Arial"/>
        </w:rPr>
        <w:t xml:space="preserve">country.  </w:t>
      </w:r>
      <w:r w:rsidR="00D47D43">
        <w:rPr>
          <w:rFonts w:cs="Arial"/>
        </w:rPr>
        <w:t xml:space="preserve">Moreover, this U.S. disadvantage exists despite the </w:t>
      </w:r>
      <w:r w:rsidR="00A054F3">
        <w:rPr>
          <w:rFonts w:cs="Arial"/>
        </w:rPr>
        <w:t xml:space="preserve">relative wealth of the </w:t>
      </w:r>
      <w:r w:rsidR="00D47D43">
        <w:rPr>
          <w:rFonts w:cs="Arial"/>
        </w:rPr>
        <w:t>U.S.</w:t>
      </w:r>
      <w:r w:rsidR="00A054F3">
        <w:rPr>
          <w:rFonts w:cs="Arial"/>
        </w:rPr>
        <w:t xml:space="preserve">, which </w:t>
      </w:r>
      <w:r w:rsidR="002D68C4">
        <w:rPr>
          <w:rFonts w:cs="Arial"/>
        </w:rPr>
        <w:t>ha</w:t>
      </w:r>
      <w:r w:rsidR="00A054F3">
        <w:rPr>
          <w:rFonts w:cs="Arial"/>
        </w:rPr>
        <w:t>s</w:t>
      </w:r>
      <w:r w:rsidR="002D68C4">
        <w:rPr>
          <w:rFonts w:cs="Arial"/>
        </w:rPr>
        <w:t xml:space="preserve"> a per capita GDP more than double </w:t>
      </w:r>
      <w:r w:rsidR="00A054F3">
        <w:rPr>
          <w:rFonts w:cs="Arial"/>
        </w:rPr>
        <w:t xml:space="preserve">that of the median country.  </w:t>
      </w:r>
      <w:r w:rsidR="00D47D43">
        <w:rPr>
          <w:rFonts w:cs="Arial"/>
        </w:rPr>
        <w:t xml:space="preserve"> </w:t>
      </w:r>
    </w:p>
    <w:p w14:paraId="32565E8A" w14:textId="77777777" w:rsidR="00C7474F" w:rsidRDefault="00C7474F">
      <w:pPr>
        <w:rPr>
          <w:rFonts w:cs="Arial"/>
        </w:rPr>
      </w:pPr>
    </w:p>
    <w:p w14:paraId="7140EBA9" w14:textId="27911198" w:rsidR="00A054F3" w:rsidRDefault="00A054F3">
      <w:pPr>
        <w:rPr>
          <w:rFonts w:cs="Arial"/>
        </w:rPr>
      </w:pPr>
      <w:r>
        <w:rPr>
          <w:rFonts w:cs="Arial"/>
          <w:b/>
          <w:bCs/>
        </w:rPr>
        <w:t xml:space="preserve">Employment rates </w:t>
      </w:r>
      <w:r w:rsidR="000208C0">
        <w:rPr>
          <w:rFonts w:cs="Arial"/>
          <w:b/>
          <w:bCs/>
        </w:rPr>
        <w:t>for the prime working-age population.</w:t>
      </w:r>
      <w:r w:rsidR="000208C0">
        <w:rPr>
          <w:rFonts w:cs="Arial"/>
        </w:rPr>
        <w:t xml:space="preserve">  </w:t>
      </w:r>
      <w:r w:rsidR="00237B27">
        <w:rPr>
          <w:rFonts w:cs="Arial"/>
        </w:rPr>
        <w:t>Several decades ago t</w:t>
      </w:r>
      <w:r w:rsidR="00A62F43">
        <w:rPr>
          <w:rFonts w:cs="Arial"/>
        </w:rPr>
        <w:t xml:space="preserve">he U.S. </w:t>
      </w:r>
      <w:r w:rsidR="00237B27">
        <w:rPr>
          <w:rFonts w:cs="Arial"/>
        </w:rPr>
        <w:t xml:space="preserve">had one of the highest employment rates among </w:t>
      </w:r>
      <w:r w:rsidR="00486322">
        <w:rPr>
          <w:rFonts w:cs="Arial"/>
        </w:rPr>
        <w:t xml:space="preserve">the major </w:t>
      </w:r>
      <w:r w:rsidR="00237B27">
        <w:rPr>
          <w:rFonts w:cs="Arial"/>
        </w:rPr>
        <w:t xml:space="preserve">advanced economies </w:t>
      </w:r>
      <w:r w:rsidR="006973FF">
        <w:rPr>
          <w:rFonts w:cs="Arial"/>
        </w:rPr>
        <w:t xml:space="preserve">for 25 to 54 year-olds. </w:t>
      </w:r>
      <w:r w:rsidR="00E0598F">
        <w:rPr>
          <w:rFonts w:cs="Arial"/>
        </w:rPr>
        <w:t xml:space="preserve"> For the last half of the 1990s (when we </w:t>
      </w:r>
      <w:r w:rsidR="002F125B">
        <w:rPr>
          <w:rFonts w:cs="Arial"/>
        </w:rPr>
        <w:t xml:space="preserve">begin to </w:t>
      </w:r>
      <w:r w:rsidR="00E0598F">
        <w:rPr>
          <w:rFonts w:cs="Arial"/>
        </w:rPr>
        <w:t xml:space="preserve">have relatively complete data for the countries tracked), the U.S. </w:t>
      </w:r>
      <w:r w:rsidR="00081224">
        <w:rPr>
          <w:rFonts w:cs="Arial"/>
        </w:rPr>
        <w:t xml:space="preserve">employment rate was about three percentage points above the median country for </w:t>
      </w:r>
      <w:r w:rsidR="00515B16">
        <w:rPr>
          <w:rFonts w:cs="Arial"/>
        </w:rPr>
        <w:t xml:space="preserve">the </w:t>
      </w:r>
      <w:r w:rsidR="00081224">
        <w:rPr>
          <w:rFonts w:cs="Arial"/>
        </w:rPr>
        <w:t>prim</w:t>
      </w:r>
      <w:r w:rsidR="00515B16">
        <w:rPr>
          <w:rFonts w:cs="Arial"/>
        </w:rPr>
        <w:t xml:space="preserve">e working-age population.  </w:t>
      </w:r>
      <w:r w:rsidR="00B63FCA">
        <w:rPr>
          <w:rFonts w:cs="Arial"/>
        </w:rPr>
        <w:t>However, beginning in 2001 the U.S. super</w:t>
      </w:r>
      <w:r w:rsidR="00876617">
        <w:rPr>
          <w:rFonts w:cs="Arial"/>
        </w:rPr>
        <w:t xml:space="preserve">iority significantly diminished, so that in the immediate pre-pandemic years the U.S. level was </w:t>
      </w:r>
      <w:r w:rsidR="003036A0">
        <w:rPr>
          <w:rFonts w:cs="Arial"/>
        </w:rPr>
        <w:t xml:space="preserve">roughly 2 percentage points </w:t>
      </w:r>
      <w:r w:rsidR="003036A0">
        <w:rPr>
          <w:rFonts w:cs="Arial"/>
          <w:i/>
          <w:iCs/>
        </w:rPr>
        <w:t>below</w:t>
      </w:r>
      <w:r w:rsidR="003036A0">
        <w:rPr>
          <w:rFonts w:cs="Arial"/>
        </w:rPr>
        <w:t xml:space="preserve"> the median country, </w:t>
      </w:r>
      <w:r w:rsidR="00E70911">
        <w:rPr>
          <w:rFonts w:cs="Arial"/>
        </w:rPr>
        <w:t>and its position dropped further as a result of the pandemic, to 4.0 per</w:t>
      </w:r>
      <w:r w:rsidR="00D835A6">
        <w:rPr>
          <w:rFonts w:cs="Arial"/>
        </w:rPr>
        <w:t xml:space="preserve">centage points lower in 2022.  This relative decline is depicted more clearly in the chart </w:t>
      </w:r>
      <w:r w:rsidR="00310083">
        <w:rPr>
          <w:rFonts w:cs="Arial"/>
        </w:rPr>
        <w:t xml:space="preserve">below against selected countries whose economy and government are similar to the U.S.  </w:t>
      </w:r>
    </w:p>
    <w:p w14:paraId="63415495" w14:textId="77777777" w:rsidR="005C433C" w:rsidRDefault="005C433C">
      <w:pPr>
        <w:rPr>
          <w:rFonts w:cs="Arial"/>
        </w:rPr>
      </w:pPr>
    </w:p>
    <w:p w14:paraId="0906D9F4" w14:textId="50B8BC48" w:rsidR="005C433C" w:rsidRPr="003036A0" w:rsidRDefault="005C433C">
      <w:pPr>
        <w:rPr>
          <w:rFonts w:cs="Arial"/>
        </w:rPr>
      </w:pPr>
      <w:r>
        <w:rPr>
          <w:rFonts w:cs="Arial"/>
        </w:rPr>
        <w:t>This trend is somewhat surprising</w:t>
      </w:r>
      <w:r w:rsidR="00D5256F">
        <w:rPr>
          <w:rFonts w:cs="Arial"/>
        </w:rPr>
        <w:t>,</w:t>
      </w:r>
      <w:r>
        <w:rPr>
          <w:rFonts w:cs="Arial"/>
        </w:rPr>
        <w:t xml:space="preserve"> given the prevalent misconception in the U.S. that the generosity of </w:t>
      </w:r>
      <w:r w:rsidR="00643809">
        <w:rPr>
          <w:rFonts w:cs="Arial"/>
        </w:rPr>
        <w:t>government benefits in many other countries has disc</w:t>
      </w:r>
      <w:r w:rsidR="00D5256F">
        <w:rPr>
          <w:rFonts w:cs="Arial"/>
        </w:rPr>
        <w:t xml:space="preserve">ouraged employment there.  </w:t>
      </w:r>
    </w:p>
    <w:p w14:paraId="5497A366" w14:textId="77777777" w:rsidR="00A054F3" w:rsidRPr="003D3F7A" w:rsidRDefault="00A054F3">
      <w:pPr>
        <w:rPr>
          <w:rFonts w:cs="Arial"/>
        </w:rPr>
      </w:pPr>
    </w:p>
    <w:p w14:paraId="0D203ADA" w14:textId="72C6497F" w:rsidR="00781935" w:rsidRDefault="00833431">
      <w:pPr>
        <w:rPr>
          <w:rFonts w:cs="Arial"/>
        </w:rPr>
      </w:pPr>
      <w:r>
        <w:rPr>
          <w:rFonts w:cs="Arial"/>
          <w:noProof/>
        </w:rPr>
        <w:lastRenderedPageBreak/>
        <w:drawing>
          <wp:inline distT="0" distB="0" distL="0" distR="0" wp14:anchorId="0A24A1E0" wp14:editId="13602BD7">
            <wp:extent cx="7174433" cy="3778771"/>
            <wp:effectExtent l="0" t="0" r="7620" b="0"/>
            <wp:docPr id="239058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214197" cy="3799715"/>
                    </a:xfrm>
                    <a:prstGeom prst="rect">
                      <a:avLst/>
                    </a:prstGeom>
                    <a:noFill/>
                  </pic:spPr>
                </pic:pic>
              </a:graphicData>
            </a:graphic>
          </wp:inline>
        </w:drawing>
      </w:r>
    </w:p>
    <w:p w14:paraId="17F99F0C" w14:textId="77777777" w:rsidR="00D72199" w:rsidRDefault="00D72199" w:rsidP="00D72199">
      <w:pPr>
        <w:rPr>
          <w:rFonts w:cs="Arial"/>
        </w:rPr>
      </w:pPr>
      <w:r>
        <w:rPr>
          <w:rFonts w:cs="Arial"/>
        </w:rPr>
        <w:t xml:space="preserve">Sources:  Eurostat, OECD and BLS customized data tools; and country-specific sources </w:t>
      </w:r>
    </w:p>
    <w:p w14:paraId="20773359" w14:textId="77777777" w:rsidR="00D72199" w:rsidRPr="003D3F7A" w:rsidRDefault="00D72199">
      <w:pPr>
        <w:rPr>
          <w:rFonts w:cs="Arial"/>
        </w:rPr>
      </w:pPr>
    </w:p>
    <w:p w14:paraId="15A6E8CE" w14:textId="06E951C8" w:rsidR="00781935" w:rsidRDefault="003650B8">
      <w:pPr>
        <w:rPr>
          <w:rFonts w:cs="Arial"/>
        </w:rPr>
      </w:pPr>
      <w:r>
        <w:rPr>
          <w:rFonts w:cs="Arial"/>
          <w:b/>
          <w:bCs/>
        </w:rPr>
        <w:t xml:space="preserve">Employment in the approximate pre-retirement years of </w:t>
      </w:r>
      <w:r w:rsidR="00646544">
        <w:rPr>
          <w:rFonts w:cs="Arial"/>
          <w:b/>
          <w:bCs/>
        </w:rPr>
        <w:t>55 to 64.</w:t>
      </w:r>
      <w:r w:rsidR="00646544">
        <w:rPr>
          <w:rFonts w:cs="Arial"/>
        </w:rPr>
        <w:t xml:space="preserve">  </w:t>
      </w:r>
      <w:r w:rsidR="007E1FA4">
        <w:rPr>
          <w:rFonts w:cs="Arial"/>
        </w:rPr>
        <w:t xml:space="preserve">Another common misconception in the U.S. is that America is one of the world’s leaders in employment among older </w:t>
      </w:r>
      <w:r w:rsidR="00E75AAE">
        <w:rPr>
          <w:rFonts w:cs="Arial"/>
        </w:rPr>
        <w:t xml:space="preserve">individuals.  </w:t>
      </w:r>
      <w:r w:rsidR="004C38AB">
        <w:rPr>
          <w:rFonts w:cs="Arial"/>
        </w:rPr>
        <w:t>T</w:t>
      </w:r>
      <w:r w:rsidR="00E75AAE">
        <w:rPr>
          <w:rFonts w:cs="Arial"/>
        </w:rPr>
        <w:t xml:space="preserve">his </w:t>
      </w:r>
      <w:r w:rsidR="00307EAC">
        <w:rPr>
          <w:rFonts w:cs="Arial"/>
        </w:rPr>
        <w:t xml:space="preserve">was generally </w:t>
      </w:r>
      <w:r w:rsidR="004C38AB">
        <w:rPr>
          <w:rFonts w:cs="Arial"/>
        </w:rPr>
        <w:t xml:space="preserve">true several decades ago, and as late as 2004 the </w:t>
      </w:r>
      <w:r w:rsidR="002D6832">
        <w:rPr>
          <w:rFonts w:cs="Arial"/>
        </w:rPr>
        <w:t xml:space="preserve">U.S. employment level for this age bracket was 15 percentage points above the </w:t>
      </w:r>
      <w:r w:rsidR="00082CD4">
        <w:rPr>
          <w:rFonts w:cs="Arial"/>
        </w:rPr>
        <w:t xml:space="preserve">median country, but </w:t>
      </w:r>
      <w:r w:rsidR="00EF1047">
        <w:rPr>
          <w:rFonts w:cs="Arial"/>
        </w:rPr>
        <w:t>this superiority</w:t>
      </w:r>
      <w:r w:rsidR="00082CD4">
        <w:rPr>
          <w:rFonts w:cs="Arial"/>
        </w:rPr>
        <w:t xml:space="preserve"> then began to </w:t>
      </w:r>
      <w:r w:rsidR="00D330C9">
        <w:rPr>
          <w:rFonts w:cs="Arial"/>
        </w:rPr>
        <w:t>rapidly diminish</w:t>
      </w:r>
      <w:r w:rsidR="00F32EC1">
        <w:rPr>
          <w:rFonts w:cs="Arial"/>
        </w:rPr>
        <w:t xml:space="preserve">.  The U.S. level remained slightly above the median in 2019, on the eve of the </w:t>
      </w:r>
      <w:r w:rsidR="00D63D3B">
        <w:rPr>
          <w:rFonts w:cs="Arial"/>
        </w:rPr>
        <w:t>pandemic, but by 2023 (for which we have mostly complete data) i</w:t>
      </w:r>
      <w:r w:rsidR="00023284">
        <w:rPr>
          <w:rFonts w:cs="Arial"/>
        </w:rPr>
        <w:t xml:space="preserve">ts average was 2.8 percentage points </w:t>
      </w:r>
      <w:r w:rsidR="00023284" w:rsidRPr="00023284">
        <w:rPr>
          <w:rFonts w:cs="Arial"/>
          <w:i/>
          <w:iCs/>
        </w:rPr>
        <w:t>below</w:t>
      </w:r>
      <w:r w:rsidR="00023284">
        <w:rPr>
          <w:rFonts w:cs="Arial"/>
        </w:rPr>
        <w:t xml:space="preserve"> the country median.  </w:t>
      </w:r>
      <w:r w:rsidR="000E3823">
        <w:rPr>
          <w:rFonts w:cs="Arial"/>
        </w:rPr>
        <w:t xml:space="preserve">This relative decline is more clearly depicted in the chart </w:t>
      </w:r>
      <w:r w:rsidR="00F6586A">
        <w:rPr>
          <w:rFonts w:cs="Arial"/>
        </w:rPr>
        <w:t>below, showing the U.S. moving from second place (behind Japan</w:t>
      </w:r>
      <w:r w:rsidR="00441AFA">
        <w:rPr>
          <w:rFonts w:cs="Arial"/>
        </w:rPr>
        <w:t>)</w:t>
      </w:r>
      <w:r w:rsidR="00F6586A">
        <w:rPr>
          <w:rFonts w:cs="Arial"/>
        </w:rPr>
        <w:t xml:space="preserve"> in the early </w:t>
      </w:r>
      <w:r w:rsidR="00701CCD">
        <w:rPr>
          <w:rFonts w:cs="Arial"/>
        </w:rPr>
        <w:t xml:space="preserve">2000s to near the bottom of similar countries by </w:t>
      </w:r>
      <w:r w:rsidR="00441AFA">
        <w:rPr>
          <w:rFonts w:cs="Arial"/>
        </w:rPr>
        <w:t xml:space="preserve">2023 (albeit still well above </w:t>
      </w:r>
      <w:r w:rsidR="00413EBF">
        <w:rPr>
          <w:rFonts w:cs="Arial"/>
        </w:rPr>
        <w:t xml:space="preserve">France and Italy).  </w:t>
      </w:r>
    </w:p>
    <w:p w14:paraId="0B8FBCF6" w14:textId="77777777" w:rsidR="007227B4" w:rsidRDefault="007227B4">
      <w:pPr>
        <w:rPr>
          <w:rFonts w:cs="Arial"/>
        </w:rPr>
      </w:pPr>
    </w:p>
    <w:p w14:paraId="4F88215F" w14:textId="57BF5604" w:rsidR="007227B4" w:rsidRPr="00646544" w:rsidRDefault="000C4C97">
      <w:pPr>
        <w:rPr>
          <w:rFonts w:cs="Arial"/>
        </w:rPr>
      </w:pPr>
      <w:r>
        <w:rPr>
          <w:rFonts w:cs="Arial"/>
        </w:rPr>
        <w:t>For the U.S. and several other countries</w:t>
      </w:r>
      <w:r w:rsidR="007E3777">
        <w:rPr>
          <w:rFonts w:cs="Arial"/>
        </w:rPr>
        <w:t>, employment rates declined for this age bracket through the 1980s (</w:t>
      </w:r>
      <w:r w:rsidR="0045354A">
        <w:rPr>
          <w:rFonts w:cs="Arial"/>
        </w:rPr>
        <w:t xml:space="preserve">and through the mid-1990s for Canada and Australia, although note that we have data for relatively few countries </w:t>
      </w:r>
      <w:r w:rsidR="00EB09A7">
        <w:rPr>
          <w:rFonts w:cs="Arial"/>
        </w:rPr>
        <w:t xml:space="preserve">prior to the mid-1990s).  However, from about 2000 forward there is a </w:t>
      </w:r>
      <w:r w:rsidR="00CD1E9C">
        <w:rPr>
          <w:rFonts w:cs="Arial"/>
        </w:rPr>
        <w:t xml:space="preserve">relatively steep rise in the employment rate for 55 to 64 year-olds across many countries.  </w:t>
      </w:r>
      <w:r w:rsidR="00570E02">
        <w:rPr>
          <w:rFonts w:cs="Arial"/>
        </w:rPr>
        <w:t xml:space="preserve">This trend </w:t>
      </w:r>
      <w:r w:rsidR="000514BF">
        <w:rPr>
          <w:rFonts w:cs="Arial"/>
        </w:rPr>
        <w:t xml:space="preserve">has been so vigorous </w:t>
      </w:r>
      <w:r w:rsidR="00CA6F80">
        <w:rPr>
          <w:rFonts w:cs="Arial"/>
        </w:rPr>
        <w:t xml:space="preserve">that the median employment rate rose by more than 25 percentage points between 2000 and 2023 (from </w:t>
      </w:r>
      <w:r w:rsidR="00D32F2A">
        <w:rPr>
          <w:rFonts w:cs="Arial"/>
        </w:rPr>
        <w:t xml:space="preserve">41.2 to 67.0 percent), despite </w:t>
      </w:r>
      <w:r w:rsidR="00AC4625">
        <w:rPr>
          <w:rFonts w:cs="Arial"/>
        </w:rPr>
        <w:t xml:space="preserve">a common </w:t>
      </w:r>
      <w:r w:rsidR="008C5118">
        <w:rPr>
          <w:rFonts w:cs="Arial"/>
        </w:rPr>
        <w:t>(albeit not univ</w:t>
      </w:r>
      <w:r w:rsidR="009431F3">
        <w:rPr>
          <w:rFonts w:cs="Arial"/>
        </w:rPr>
        <w:t xml:space="preserve">ersal) </w:t>
      </w:r>
      <w:r w:rsidR="00D32F2A">
        <w:rPr>
          <w:rFonts w:cs="Arial"/>
        </w:rPr>
        <w:t xml:space="preserve">dip during the </w:t>
      </w:r>
      <w:r w:rsidR="00AC4625">
        <w:rPr>
          <w:rFonts w:cs="Arial"/>
        </w:rPr>
        <w:t xml:space="preserve">pandemic. </w:t>
      </w:r>
      <w:r w:rsidR="00460C48">
        <w:rPr>
          <w:rFonts w:cs="Arial"/>
        </w:rPr>
        <w:t xml:space="preserve">This </w:t>
      </w:r>
      <w:r w:rsidR="00A17418">
        <w:rPr>
          <w:rFonts w:cs="Arial"/>
        </w:rPr>
        <w:t xml:space="preserve">is a dramatic change in the propensity of older individuals to work since the reductions </w:t>
      </w:r>
      <w:r w:rsidR="00736445">
        <w:rPr>
          <w:rFonts w:cs="Arial"/>
        </w:rPr>
        <w:t>facilitated by Social Security benefits</w:t>
      </w:r>
      <w:r w:rsidR="00B77B7C">
        <w:rPr>
          <w:rFonts w:cs="Arial"/>
        </w:rPr>
        <w:t xml:space="preserve"> </w:t>
      </w:r>
      <w:r w:rsidR="004318C9">
        <w:rPr>
          <w:rFonts w:cs="Arial"/>
        </w:rPr>
        <w:t>throughout the world</w:t>
      </w:r>
      <w:r w:rsidR="00736445">
        <w:rPr>
          <w:rFonts w:cs="Arial"/>
        </w:rPr>
        <w:t xml:space="preserve">, and marks a major employment </w:t>
      </w:r>
      <w:r w:rsidR="006B2F11">
        <w:rPr>
          <w:rFonts w:cs="Arial"/>
        </w:rPr>
        <w:t xml:space="preserve">change only exceeded by the earlier mass entrance of women into the paid workforce.  </w:t>
      </w:r>
    </w:p>
    <w:p w14:paraId="736027BA" w14:textId="605CE791" w:rsidR="00833431" w:rsidRDefault="00174FE3">
      <w:pPr>
        <w:rPr>
          <w:rFonts w:cs="Arial"/>
        </w:rPr>
      </w:pPr>
      <w:r>
        <w:rPr>
          <w:rFonts w:cs="Arial"/>
          <w:noProof/>
        </w:rPr>
        <w:lastRenderedPageBreak/>
        <w:drawing>
          <wp:inline distT="0" distB="0" distL="0" distR="0" wp14:anchorId="6B994D4E" wp14:editId="0CBDF4A8">
            <wp:extent cx="7206863" cy="4277942"/>
            <wp:effectExtent l="0" t="0" r="0" b="8890"/>
            <wp:docPr id="16719898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226435" cy="4289560"/>
                    </a:xfrm>
                    <a:prstGeom prst="rect">
                      <a:avLst/>
                    </a:prstGeom>
                    <a:noFill/>
                  </pic:spPr>
                </pic:pic>
              </a:graphicData>
            </a:graphic>
          </wp:inline>
        </w:drawing>
      </w:r>
    </w:p>
    <w:p w14:paraId="61EC9B14" w14:textId="77777777" w:rsidR="00174FE3" w:rsidRDefault="00174FE3" w:rsidP="00174FE3">
      <w:pPr>
        <w:rPr>
          <w:rFonts w:cs="Arial"/>
        </w:rPr>
      </w:pPr>
      <w:r>
        <w:rPr>
          <w:rFonts w:cs="Arial"/>
        </w:rPr>
        <w:t xml:space="preserve">Sources:  Eurostat, OECD and BLS customized data tools; and country-specific sources </w:t>
      </w:r>
    </w:p>
    <w:p w14:paraId="2E3268BE" w14:textId="0E89E788" w:rsidR="00833431" w:rsidRPr="003D3F7A" w:rsidRDefault="00833431">
      <w:pPr>
        <w:rPr>
          <w:rFonts w:cs="Arial"/>
        </w:rPr>
      </w:pPr>
    </w:p>
    <w:p w14:paraId="45F23DF2" w14:textId="7D3B1A94" w:rsidR="00781935" w:rsidRDefault="00037691">
      <w:pPr>
        <w:rPr>
          <w:rFonts w:cs="Arial"/>
        </w:rPr>
      </w:pPr>
      <w:r>
        <w:rPr>
          <w:rFonts w:cs="Arial"/>
          <w:b/>
          <w:bCs/>
        </w:rPr>
        <w:t>Employment rates among the elderly.</w:t>
      </w:r>
      <w:r>
        <w:rPr>
          <w:rFonts w:cs="Arial"/>
        </w:rPr>
        <w:t xml:space="preserve">  </w:t>
      </w:r>
      <w:r w:rsidR="00574838">
        <w:rPr>
          <w:rFonts w:cs="Arial"/>
        </w:rPr>
        <w:t>In contrast to the pattern described above for the non-elderly, for each of the elderly age brackets the U.S. is among the leading countries</w:t>
      </w:r>
      <w:r w:rsidR="00D852BD">
        <w:rPr>
          <w:rFonts w:cs="Arial"/>
        </w:rPr>
        <w:t xml:space="preserve">, and the U.S. averages become relatively higher </w:t>
      </w:r>
      <w:r w:rsidR="00723997">
        <w:rPr>
          <w:rFonts w:cs="Arial"/>
        </w:rPr>
        <w:t xml:space="preserve">with age, </w:t>
      </w:r>
      <w:r w:rsidR="00D852BD">
        <w:rPr>
          <w:rFonts w:cs="Arial"/>
        </w:rPr>
        <w:t xml:space="preserve">in </w:t>
      </w:r>
      <w:r w:rsidR="00723997">
        <w:rPr>
          <w:rFonts w:cs="Arial"/>
        </w:rPr>
        <w:t xml:space="preserve">the </w:t>
      </w:r>
      <w:r w:rsidR="00D852BD">
        <w:rPr>
          <w:rFonts w:cs="Arial"/>
        </w:rPr>
        <w:t>international context</w:t>
      </w:r>
      <w:r w:rsidR="009E0A6B">
        <w:rPr>
          <w:rFonts w:cs="Arial"/>
        </w:rPr>
        <w:t xml:space="preserve">.  </w:t>
      </w:r>
    </w:p>
    <w:p w14:paraId="53C6FE2C" w14:textId="77777777" w:rsidR="00754FB2" w:rsidRDefault="00754FB2">
      <w:pPr>
        <w:rPr>
          <w:rFonts w:cs="Arial"/>
        </w:rPr>
      </w:pPr>
    </w:p>
    <w:p w14:paraId="06B4AC1B" w14:textId="3BBB1ED6" w:rsidR="00754FB2" w:rsidRDefault="00754FB2">
      <w:pPr>
        <w:rPr>
          <w:rFonts w:cs="Arial"/>
        </w:rPr>
      </w:pPr>
      <w:r>
        <w:rPr>
          <w:rFonts w:cs="Arial"/>
        </w:rPr>
        <w:t xml:space="preserve">In general, the U.S. employment average for these three age brackets – 65 to 69, 70 to 74, and 75 and older – is only exceeded by </w:t>
      </w:r>
      <w:r w:rsidR="00767754">
        <w:rPr>
          <w:rFonts w:cs="Arial"/>
        </w:rPr>
        <w:t>Japan and Korea (we lack Korean data for those 75 and older, but the average is presumably high</w:t>
      </w:r>
      <w:r w:rsidR="007608CF">
        <w:rPr>
          <w:rFonts w:cs="Arial"/>
        </w:rPr>
        <w:t xml:space="preserve"> given their rate for 70-74 year-olds).  </w:t>
      </w:r>
      <w:r w:rsidR="0095217D">
        <w:rPr>
          <w:rFonts w:cs="Arial"/>
        </w:rPr>
        <w:t xml:space="preserve"> T</w:t>
      </w:r>
      <w:r w:rsidR="008212DA">
        <w:rPr>
          <w:rFonts w:cs="Arial"/>
        </w:rPr>
        <w:t xml:space="preserve">he high employment rates for these two East Asian countries occurs despite a </w:t>
      </w:r>
      <w:r w:rsidR="00442B20">
        <w:rPr>
          <w:rFonts w:cs="Arial"/>
        </w:rPr>
        <w:t xml:space="preserve">normal retirement age that is lower than that for many other countries, including the U.S. (although perhaps </w:t>
      </w:r>
      <w:r w:rsidR="000A2D27">
        <w:rPr>
          <w:rFonts w:cs="Arial"/>
        </w:rPr>
        <w:t xml:space="preserve">relatively low benefits might explain the persistence of </w:t>
      </w:r>
      <w:r w:rsidR="00144E23">
        <w:rPr>
          <w:rFonts w:cs="Arial"/>
        </w:rPr>
        <w:t xml:space="preserve">their </w:t>
      </w:r>
      <w:r w:rsidR="000A2D27">
        <w:rPr>
          <w:rFonts w:cs="Arial"/>
        </w:rPr>
        <w:t>work at advanced ages)</w:t>
      </w:r>
      <w:r w:rsidR="00C63D9F">
        <w:rPr>
          <w:rFonts w:cs="Arial"/>
        </w:rPr>
        <w:t>.</w:t>
      </w:r>
    </w:p>
    <w:p w14:paraId="5BE4DC1D" w14:textId="77777777" w:rsidR="005A27F3" w:rsidRDefault="005A27F3">
      <w:pPr>
        <w:rPr>
          <w:rFonts w:cs="Arial"/>
        </w:rPr>
      </w:pPr>
    </w:p>
    <w:p w14:paraId="3E5C00A0" w14:textId="2B006E1D" w:rsidR="005A27F3" w:rsidRDefault="00852C0B">
      <w:pPr>
        <w:rPr>
          <w:rFonts w:cs="Arial"/>
        </w:rPr>
      </w:pPr>
      <w:r>
        <w:rPr>
          <w:rFonts w:cs="Arial"/>
        </w:rPr>
        <w:t xml:space="preserve">For </w:t>
      </w:r>
      <w:r w:rsidRPr="008303D7">
        <w:rPr>
          <w:rFonts w:cs="Arial"/>
          <w:b/>
          <w:bCs/>
        </w:rPr>
        <w:t>65 to 69 year-olds</w:t>
      </w:r>
      <w:r>
        <w:rPr>
          <w:rFonts w:cs="Arial"/>
        </w:rPr>
        <w:t xml:space="preserve"> – who are at</w:t>
      </w:r>
      <w:r w:rsidR="00557D04">
        <w:rPr>
          <w:rFonts w:cs="Arial"/>
        </w:rPr>
        <w:t xml:space="preserve"> or just above the normal retirement age in many countries – employment has </w:t>
      </w:r>
      <w:r w:rsidR="00545FA5">
        <w:rPr>
          <w:rFonts w:cs="Arial"/>
        </w:rPr>
        <w:t xml:space="preserve">also risen over time, although by much less than the increase for 55 to 64 year-olds.  </w:t>
      </w:r>
      <w:r w:rsidR="000D1044">
        <w:rPr>
          <w:rFonts w:cs="Arial"/>
        </w:rPr>
        <w:t xml:space="preserve">From 1996 through 2006 the median country level remained at about 10 </w:t>
      </w:r>
      <w:r w:rsidR="00CC2A2B">
        <w:rPr>
          <w:rFonts w:cs="Arial"/>
        </w:rPr>
        <w:t>percent, but then rose to 16.8 percent in 2019 on the eve of the pandemic, and then rose further to 21.0</w:t>
      </w:r>
      <w:r w:rsidR="00003C9F">
        <w:rPr>
          <w:rFonts w:cs="Arial"/>
        </w:rPr>
        <w:t xml:space="preserve"> percent by 2022 (note that our data for this age bracket is available for most countries only through 2022)</w:t>
      </w:r>
      <w:r w:rsidR="00DA371B">
        <w:rPr>
          <w:rFonts w:cs="Arial"/>
        </w:rPr>
        <w:t xml:space="preserve">.  </w:t>
      </w:r>
      <w:r w:rsidR="00E24A27">
        <w:rPr>
          <w:rFonts w:cs="Arial"/>
        </w:rPr>
        <w:t xml:space="preserve">This reflects an approximate doubling of the circa 2000 level, certainly a </w:t>
      </w:r>
      <w:r w:rsidR="00A816A7">
        <w:rPr>
          <w:rFonts w:cs="Arial"/>
        </w:rPr>
        <w:t>significant trend</w:t>
      </w:r>
      <w:r w:rsidR="00453B0B">
        <w:rPr>
          <w:rFonts w:cs="Arial"/>
        </w:rPr>
        <w:t xml:space="preserve">, but of course this approximately 10 percentage point rise pales against the </w:t>
      </w:r>
      <w:r w:rsidR="00161049">
        <w:rPr>
          <w:rFonts w:cs="Arial"/>
        </w:rPr>
        <w:t xml:space="preserve">nearly 25 percentage point </w:t>
      </w:r>
      <w:r w:rsidR="00DE0969">
        <w:rPr>
          <w:rFonts w:cs="Arial"/>
        </w:rPr>
        <w:t xml:space="preserve">increase for </w:t>
      </w:r>
      <w:r w:rsidR="001D20F5">
        <w:rPr>
          <w:rFonts w:cs="Arial"/>
        </w:rPr>
        <w:t>55 to 64 year-olds</w:t>
      </w:r>
      <w:r w:rsidR="00DE0969">
        <w:rPr>
          <w:rFonts w:cs="Arial"/>
        </w:rPr>
        <w:t xml:space="preserve">.  </w:t>
      </w:r>
    </w:p>
    <w:p w14:paraId="2E6E8C2C" w14:textId="77777777" w:rsidR="00430494" w:rsidRDefault="00430494">
      <w:pPr>
        <w:rPr>
          <w:rFonts w:cs="Arial"/>
        </w:rPr>
      </w:pPr>
    </w:p>
    <w:p w14:paraId="5880FC77" w14:textId="386C5504" w:rsidR="00430494" w:rsidRPr="00037691" w:rsidRDefault="00430494">
      <w:pPr>
        <w:rPr>
          <w:rFonts w:cs="Arial"/>
        </w:rPr>
      </w:pPr>
      <w:r>
        <w:rPr>
          <w:rFonts w:cs="Arial"/>
        </w:rPr>
        <w:t>It should also be noted that the</w:t>
      </w:r>
      <w:r w:rsidR="007C20EA">
        <w:rPr>
          <w:rFonts w:cs="Arial"/>
        </w:rPr>
        <w:t xml:space="preserve"> pandemic employment rate decline in the U.S. is by no means characteristic </w:t>
      </w:r>
      <w:r w:rsidR="0017421B">
        <w:rPr>
          <w:rFonts w:cs="Arial"/>
        </w:rPr>
        <w:t xml:space="preserve">of several other major countries, as shown in the chart below.  The </w:t>
      </w:r>
      <w:r w:rsidR="003B6F6C">
        <w:rPr>
          <w:rFonts w:cs="Arial"/>
        </w:rPr>
        <w:t xml:space="preserve">labor market </w:t>
      </w:r>
      <w:r w:rsidR="0017421B">
        <w:rPr>
          <w:rFonts w:cs="Arial"/>
        </w:rPr>
        <w:t xml:space="preserve">withdrawal </w:t>
      </w:r>
      <w:r w:rsidR="003B6F6C">
        <w:rPr>
          <w:rFonts w:cs="Arial"/>
        </w:rPr>
        <w:t xml:space="preserve">of some elderly individuals in the U.S. was likely caused by the relatively higher coronavirus death rates in </w:t>
      </w:r>
      <w:r w:rsidR="008F0741">
        <w:rPr>
          <w:rFonts w:cs="Arial"/>
        </w:rPr>
        <w:t xml:space="preserve">America, </w:t>
      </w:r>
      <w:r w:rsidR="00253260">
        <w:rPr>
          <w:rFonts w:cs="Arial"/>
        </w:rPr>
        <w:t>in turn</w:t>
      </w:r>
      <w:r w:rsidR="008F0741">
        <w:rPr>
          <w:rFonts w:cs="Arial"/>
        </w:rPr>
        <w:t xml:space="preserve"> attributable to much lower coronavirus vaccination rates and </w:t>
      </w:r>
      <w:r w:rsidR="00253260">
        <w:rPr>
          <w:rFonts w:cs="Arial"/>
        </w:rPr>
        <w:t xml:space="preserve">less effective public health measures in the U.S. </w:t>
      </w:r>
      <w:r w:rsidR="00195FC1">
        <w:rPr>
          <w:rFonts w:cs="Arial"/>
        </w:rPr>
        <w:t xml:space="preserve">Therefore, the elderly in other countries were more likely to </w:t>
      </w:r>
      <w:r w:rsidR="000D3F62">
        <w:rPr>
          <w:rFonts w:cs="Arial"/>
        </w:rPr>
        <w:t xml:space="preserve">continue their pre-pandemic employment patterns than occurred in America.  </w:t>
      </w:r>
    </w:p>
    <w:p w14:paraId="55C1260E" w14:textId="31F54594" w:rsidR="006F514D" w:rsidRDefault="006F514D">
      <w:pPr>
        <w:rPr>
          <w:rFonts w:cs="Arial"/>
        </w:rPr>
      </w:pPr>
      <w:r>
        <w:rPr>
          <w:rFonts w:cs="Arial"/>
          <w:noProof/>
        </w:rPr>
        <w:lastRenderedPageBreak/>
        <w:drawing>
          <wp:inline distT="0" distB="0" distL="0" distR="0" wp14:anchorId="5CB61FB6" wp14:editId="1982F717">
            <wp:extent cx="7235013" cy="4216941"/>
            <wp:effectExtent l="0" t="0" r="4445" b="0"/>
            <wp:docPr id="178019769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251246" cy="4226402"/>
                    </a:xfrm>
                    <a:prstGeom prst="rect">
                      <a:avLst/>
                    </a:prstGeom>
                    <a:noFill/>
                  </pic:spPr>
                </pic:pic>
              </a:graphicData>
            </a:graphic>
          </wp:inline>
        </w:drawing>
      </w:r>
    </w:p>
    <w:p w14:paraId="796F8792" w14:textId="77777777" w:rsidR="00D72199" w:rsidRDefault="00D72199" w:rsidP="00D72199">
      <w:pPr>
        <w:rPr>
          <w:rFonts w:cs="Arial"/>
        </w:rPr>
      </w:pPr>
      <w:r>
        <w:rPr>
          <w:rFonts w:cs="Arial"/>
        </w:rPr>
        <w:t xml:space="preserve">Sources:  Eurostat, OECD and BLS customized data tools; and country-specific sources </w:t>
      </w:r>
    </w:p>
    <w:p w14:paraId="236BCBA0" w14:textId="77777777" w:rsidR="00D72199" w:rsidRDefault="00D72199">
      <w:pPr>
        <w:rPr>
          <w:rFonts w:cs="Arial"/>
        </w:rPr>
      </w:pPr>
    </w:p>
    <w:p w14:paraId="144FC4E4" w14:textId="4F04A3E5" w:rsidR="008303D7" w:rsidRDefault="00DF767C">
      <w:pPr>
        <w:rPr>
          <w:rFonts w:cs="Arial"/>
        </w:rPr>
      </w:pPr>
      <w:r>
        <w:rPr>
          <w:rFonts w:cs="Arial"/>
        </w:rPr>
        <w:t xml:space="preserve">For the next oldest cohort of </w:t>
      </w:r>
      <w:r w:rsidRPr="00DF767C">
        <w:rPr>
          <w:rFonts w:cs="Arial"/>
          <w:b/>
          <w:bCs/>
        </w:rPr>
        <w:t>70 to 74 year-olds</w:t>
      </w:r>
      <w:r w:rsidR="004B4B30">
        <w:rPr>
          <w:rFonts w:cs="Arial"/>
        </w:rPr>
        <w:t xml:space="preserve"> -- </w:t>
      </w:r>
      <w:r w:rsidR="00D61E00">
        <w:rPr>
          <w:rFonts w:cs="Arial"/>
        </w:rPr>
        <w:t>above the Social Security retirement ages for all but a few countries --</w:t>
      </w:r>
      <w:r>
        <w:rPr>
          <w:rFonts w:cs="Arial"/>
        </w:rPr>
        <w:t xml:space="preserve"> </w:t>
      </w:r>
      <w:r w:rsidR="004B4B30">
        <w:rPr>
          <w:rFonts w:cs="Arial"/>
        </w:rPr>
        <w:t xml:space="preserve">the likelihood of employment </w:t>
      </w:r>
      <w:r w:rsidR="00D61E00">
        <w:rPr>
          <w:rFonts w:cs="Arial"/>
        </w:rPr>
        <w:t>is generally ra</w:t>
      </w:r>
      <w:r w:rsidR="00733F6E">
        <w:rPr>
          <w:rFonts w:cs="Arial"/>
        </w:rPr>
        <w:t>r</w:t>
      </w:r>
      <w:r w:rsidR="00D61E00">
        <w:rPr>
          <w:rFonts w:cs="Arial"/>
        </w:rPr>
        <w:t>e</w:t>
      </w:r>
      <w:r w:rsidR="00733F6E">
        <w:rPr>
          <w:rFonts w:cs="Arial"/>
        </w:rPr>
        <w:t xml:space="preserve">, although there has been a modest increase in a number of countries.  The median country </w:t>
      </w:r>
      <w:r w:rsidR="008537BF">
        <w:rPr>
          <w:rFonts w:cs="Arial"/>
        </w:rPr>
        <w:t xml:space="preserve">level rose from roughly a 4.5 percent level in the </w:t>
      </w:r>
      <w:r w:rsidR="00D15E8F">
        <w:rPr>
          <w:rFonts w:cs="Arial"/>
        </w:rPr>
        <w:t xml:space="preserve">1997 to 2001 period to </w:t>
      </w:r>
      <w:r w:rsidR="00F01CA7">
        <w:rPr>
          <w:rFonts w:cs="Arial"/>
        </w:rPr>
        <w:t xml:space="preserve">8 percent on the eve of the pandemic, but then receded slightly to slightly over 7 percent in 2021/2022.  </w:t>
      </w:r>
    </w:p>
    <w:p w14:paraId="64C642AC" w14:textId="77777777" w:rsidR="003853F0" w:rsidRDefault="003853F0">
      <w:pPr>
        <w:rPr>
          <w:rFonts w:cs="Arial"/>
        </w:rPr>
      </w:pPr>
    </w:p>
    <w:p w14:paraId="73FF88E3" w14:textId="56DD4625" w:rsidR="003853F0" w:rsidRDefault="003853F0">
      <w:pPr>
        <w:rPr>
          <w:rFonts w:cs="Arial"/>
        </w:rPr>
      </w:pPr>
      <w:r>
        <w:rPr>
          <w:rFonts w:cs="Arial"/>
        </w:rPr>
        <w:t xml:space="preserve">Bearing in mind that our data </w:t>
      </w:r>
      <w:r w:rsidR="00251F15">
        <w:rPr>
          <w:rFonts w:cs="Arial"/>
        </w:rPr>
        <w:t xml:space="preserve">become </w:t>
      </w:r>
      <w:r>
        <w:rPr>
          <w:rFonts w:cs="Arial"/>
        </w:rPr>
        <w:t xml:space="preserve">less </w:t>
      </w:r>
      <w:r w:rsidR="00FC2799">
        <w:rPr>
          <w:rFonts w:cs="Arial"/>
        </w:rPr>
        <w:t xml:space="preserve">comprehensive and less up to date beginning with this age </w:t>
      </w:r>
      <w:r w:rsidR="00EB7768">
        <w:rPr>
          <w:rFonts w:cs="Arial"/>
        </w:rPr>
        <w:t xml:space="preserve">bracket, the most notable increase has occurred in Japan, although as the chart below shows, </w:t>
      </w:r>
      <w:r w:rsidR="00D018E4">
        <w:rPr>
          <w:rFonts w:cs="Arial"/>
        </w:rPr>
        <w:t>this rise is clearly exceptional</w:t>
      </w:r>
      <w:r w:rsidR="00CF28BA">
        <w:rPr>
          <w:rFonts w:cs="Arial"/>
        </w:rPr>
        <w:t xml:space="preserve">.  </w:t>
      </w:r>
      <w:r w:rsidR="009F65E8">
        <w:rPr>
          <w:rFonts w:cs="Arial"/>
        </w:rPr>
        <w:t xml:space="preserve">The increases that occurred among several other major economies appear to have leveled </w:t>
      </w:r>
      <w:r w:rsidR="00863C20">
        <w:rPr>
          <w:rFonts w:cs="Arial"/>
        </w:rPr>
        <w:t>off even before the pandemic – including</w:t>
      </w:r>
      <w:r w:rsidR="003F676B">
        <w:rPr>
          <w:rFonts w:cs="Arial"/>
        </w:rPr>
        <w:t xml:space="preserve"> in</w:t>
      </w:r>
      <w:r w:rsidR="00863C20">
        <w:rPr>
          <w:rFonts w:cs="Arial"/>
        </w:rPr>
        <w:t xml:space="preserve"> the U.S., United Kingdom, </w:t>
      </w:r>
      <w:r w:rsidR="007D3E57">
        <w:rPr>
          <w:rFonts w:cs="Arial"/>
        </w:rPr>
        <w:t xml:space="preserve">France, and Italy.  </w:t>
      </w:r>
    </w:p>
    <w:p w14:paraId="5AFB0BB2" w14:textId="77777777" w:rsidR="00D47EED" w:rsidRDefault="00D47EED">
      <w:pPr>
        <w:rPr>
          <w:rFonts w:cs="Arial"/>
        </w:rPr>
      </w:pPr>
    </w:p>
    <w:p w14:paraId="560FA431" w14:textId="58968F36" w:rsidR="00D47EED" w:rsidRDefault="00D47EED">
      <w:pPr>
        <w:rPr>
          <w:rFonts w:cs="Arial"/>
        </w:rPr>
      </w:pPr>
      <w:r>
        <w:rPr>
          <w:rFonts w:cs="Arial"/>
          <w:noProof/>
        </w:rPr>
        <w:lastRenderedPageBreak/>
        <w:drawing>
          <wp:inline distT="0" distB="0" distL="0" distR="0" wp14:anchorId="6D16DF7C" wp14:editId="7D3CD99F">
            <wp:extent cx="7216159" cy="4205952"/>
            <wp:effectExtent l="0" t="0" r="3810" b="4445"/>
            <wp:docPr id="176825017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226260" cy="4211839"/>
                    </a:xfrm>
                    <a:prstGeom prst="rect">
                      <a:avLst/>
                    </a:prstGeom>
                    <a:noFill/>
                  </pic:spPr>
                </pic:pic>
              </a:graphicData>
            </a:graphic>
          </wp:inline>
        </w:drawing>
      </w:r>
    </w:p>
    <w:p w14:paraId="6E306901" w14:textId="77777777" w:rsidR="00D72199" w:rsidRDefault="00D72199" w:rsidP="00D72199">
      <w:pPr>
        <w:rPr>
          <w:rFonts w:cs="Arial"/>
        </w:rPr>
      </w:pPr>
      <w:r>
        <w:rPr>
          <w:rFonts w:cs="Arial"/>
        </w:rPr>
        <w:t xml:space="preserve">Sources:  Eurostat, OECD and BLS customized data tools; and country-specific sources </w:t>
      </w:r>
    </w:p>
    <w:p w14:paraId="18D6E6EC" w14:textId="77777777" w:rsidR="00D47EED" w:rsidRDefault="00D47EED">
      <w:pPr>
        <w:rPr>
          <w:rFonts w:cs="Arial"/>
        </w:rPr>
      </w:pPr>
    </w:p>
    <w:p w14:paraId="63C727B0" w14:textId="64C26D29" w:rsidR="00D47EED" w:rsidRDefault="0094196E">
      <w:pPr>
        <w:rPr>
          <w:rFonts w:cs="Arial"/>
        </w:rPr>
      </w:pPr>
      <w:r>
        <w:rPr>
          <w:rFonts w:cs="Arial"/>
        </w:rPr>
        <w:t xml:space="preserve">The available data become sparser for the oldest individuals </w:t>
      </w:r>
      <w:r w:rsidR="0007257F">
        <w:rPr>
          <w:rFonts w:cs="Arial"/>
        </w:rPr>
        <w:t xml:space="preserve">aged </w:t>
      </w:r>
      <w:r w:rsidR="0007257F" w:rsidRPr="0007257F">
        <w:rPr>
          <w:rFonts w:cs="Arial"/>
          <w:b/>
          <w:bCs/>
        </w:rPr>
        <w:t>75 and older</w:t>
      </w:r>
      <w:r w:rsidR="004049D7">
        <w:rPr>
          <w:rFonts w:cs="Arial"/>
        </w:rPr>
        <w:t xml:space="preserve"> (and as noted, </w:t>
      </w:r>
      <w:r w:rsidR="00956A5B">
        <w:rPr>
          <w:rFonts w:cs="Arial"/>
        </w:rPr>
        <w:t>don’t</w:t>
      </w:r>
      <w:r w:rsidR="004049D7">
        <w:rPr>
          <w:rFonts w:cs="Arial"/>
        </w:rPr>
        <w:t xml:space="preserve"> include Korea).</w:t>
      </w:r>
      <w:r w:rsidR="0007257F">
        <w:rPr>
          <w:rFonts w:cs="Arial"/>
        </w:rPr>
        <w:t xml:space="preserve">  </w:t>
      </w:r>
      <w:r w:rsidR="00082128">
        <w:rPr>
          <w:rFonts w:cs="Arial"/>
        </w:rPr>
        <w:t xml:space="preserve">Employment </w:t>
      </w:r>
      <w:r w:rsidR="00AC57E1">
        <w:rPr>
          <w:rFonts w:cs="Arial"/>
        </w:rPr>
        <w:t xml:space="preserve">at this age is relatively rare, at most about 10 percent of this </w:t>
      </w:r>
      <w:r w:rsidR="004049D7">
        <w:rPr>
          <w:rFonts w:cs="Arial"/>
        </w:rPr>
        <w:t xml:space="preserve">cohort, and has changed less than employment among younger individuals.  That said, there is a </w:t>
      </w:r>
      <w:r w:rsidR="00AF6412">
        <w:rPr>
          <w:rFonts w:cs="Arial"/>
        </w:rPr>
        <w:t>definite increase in several countries</w:t>
      </w:r>
      <w:r w:rsidR="00687AC1">
        <w:rPr>
          <w:rFonts w:cs="Arial"/>
        </w:rPr>
        <w:t xml:space="preserve"> – as shown in the chart below -- </w:t>
      </w:r>
      <w:r w:rsidR="00AF6412">
        <w:rPr>
          <w:rFonts w:cs="Arial"/>
        </w:rPr>
        <w:t xml:space="preserve">although the pandemic appears to have </w:t>
      </w:r>
      <w:r w:rsidR="009D7543">
        <w:rPr>
          <w:rFonts w:cs="Arial"/>
        </w:rPr>
        <w:t>reduced employment in this cohort more consistently than occurred for the relatively younger elderly</w:t>
      </w:r>
      <w:r w:rsidR="00687AC1">
        <w:rPr>
          <w:rFonts w:cs="Arial"/>
        </w:rPr>
        <w:t xml:space="preserve"> population.  The decline is most notable </w:t>
      </w:r>
      <w:r w:rsidR="00D62A95">
        <w:rPr>
          <w:rFonts w:cs="Arial"/>
        </w:rPr>
        <w:t xml:space="preserve">in America and the UK, two of the major advanced economies with extremely high coronavirus death rates.  </w:t>
      </w:r>
    </w:p>
    <w:p w14:paraId="466A310A" w14:textId="0A4A0153" w:rsidR="00D47EED" w:rsidRDefault="00B65007">
      <w:pPr>
        <w:rPr>
          <w:rFonts w:cs="Arial"/>
        </w:rPr>
      </w:pPr>
      <w:r>
        <w:rPr>
          <w:rFonts w:cs="Arial"/>
          <w:noProof/>
        </w:rPr>
        <w:lastRenderedPageBreak/>
        <w:drawing>
          <wp:inline distT="0" distB="0" distL="0" distR="0" wp14:anchorId="0D94DB87" wp14:editId="6BADCEEA">
            <wp:extent cx="7253997" cy="4305921"/>
            <wp:effectExtent l="0" t="0" r="4445" b="0"/>
            <wp:docPr id="151765579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269235" cy="4314966"/>
                    </a:xfrm>
                    <a:prstGeom prst="rect">
                      <a:avLst/>
                    </a:prstGeom>
                    <a:noFill/>
                  </pic:spPr>
                </pic:pic>
              </a:graphicData>
            </a:graphic>
          </wp:inline>
        </w:drawing>
      </w:r>
    </w:p>
    <w:p w14:paraId="2BCEDDAD" w14:textId="76169D17" w:rsidR="00B65007" w:rsidRDefault="00B65007">
      <w:pPr>
        <w:rPr>
          <w:rFonts w:cs="Arial"/>
        </w:rPr>
      </w:pPr>
      <w:r>
        <w:rPr>
          <w:rFonts w:cs="Arial"/>
        </w:rPr>
        <w:t xml:space="preserve">Sources:  </w:t>
      </w:r>
      <w:r w:rsidR="00126365">
        <w:rPr>
          <w:rFonts w:cs="Arial"/>
        </w:rPr>
        <w:t>Eurostat</w:t>
      </w:r>
      <w:r w:rsidR="00D72199">
        <w:rPr>
          <w:rFonts w:cs="Arial"/>
        </w:rPr>
        <w:t xml:space="preserve">, OECD and BLS customized data tools; and country-specific sources </w:t>
      </w:r>
    </w:p>
    <w:p w14:paraId="3AA8CAF2" w14:textId="77777777" w:rsidR="00B65007" w:rsidRDefault="00B65007">
      <w:pPr>
        <w:rPr>
          <w:rFonts w:cs="Arial"/>
        </w:rPr>
      </w:pPr>
    </w:p>
    <w:p w14:paraId="716F9C8C" w14:textId="77777777" w:rsidR="006F514D" w:rsidRPr="003D3F7A" w:rsidRDefault="006F514D">
      <w:pPr>
        <w:rPr>
          <w:rFonts w:cs="Arial"/>
        </w:rPr>
      </w:pPr>
    </w:p>
    <w:p w14:paraId="266B5DC1" w14:textId="57F29ED4" w:rsidR="006C7892" w:rsidRPr="003D3F7A" w:rsidRDefault="00893EA6">
      <w:pPr>
        <w:rPr>
          <w:rFonts w:cs="Arial"/>
        </w:rPr>
      </w:pPr>
      <w:r w:rsidRPr="003D3F7A">
        <w:rPr>
          <w:rFonts w:cs="Arial"/>
        </w:rPr>
        <w:t>[</w:t>
      </w:r>
      <w:r w:rsidR="005651CB">
        <w:rPr>
          <w:rFonts w:cs="Arial"/>
        </w:rPr>
        <w:t>3</w:t>
      </w:r>
      <w:r w:rsidRPr="003D3F7A">
        <w:rPr>
          <w:rFonts w:cs="Arial"/>
        </w:rPr>
        <w:t>-</w:t>
      </w:r>
      <w:r w:rsidR="00781935" w:rsidRPr="003D3F7A">
        <w:rPr>
          <w:rFonts w:cs="Arial"/>
        </w:rPr>
        <w:t>2</w:t>
      </w:r>
      <w:r w:rsidR="00B22D1B">
        <w:rPr>
          <w:rFonts w:cs="Arial"/>
        </w:rPr>
        <w:t>7</w:t>
      </w:r>
      <w:r w:rsidR="002D0A3E" w:rsidRPr="003D3F7A">
        <w:rPr>
          <w:rFonts w:cs="Arial"/>
        </w:rPr>
        <w:t xml:space="preserve">-2024, by Frank Gallo, at </w:t>
      </w:r>
      <w:hyperlink r:id="rId37" w:history="1">
        <w:r w:rsidR="002D0A3E" w:rsidRPr="003D3F7A">
          <w:rPr>
            <w:rStyle w:val="Hyperlink"/>
            <w:rFonts w:cs="Arial"/>
          </w:rPr>
          <w:t>Gallo.Frank@DOL.gov</w:t>
        </w:r>
      </w:hyperlink>
      <w:r w:rsidR="002D0A3E" w:rsidRPr="003D3F7A">
        <w:rPr>
          <w:rFonts w:cs="Arial"/>
        </w:rPr>
        <w:t xml:space="preserve">] </w:t>
      </w:r>
    </w:p>
    <w:p w14:paraId="3CBA87F4" w14:textId="77777777" w:rsidR="00C244E7" w:rsidRPr="003D3F7A" w:rsidRDefault="00C244E7">
      <w:pPr>
        <w:rPr>
          <w:rFonts w:cs="Arial"/>
        </w:rPr>
      </w:pPr>
    </w:p>
    <w:sectPr w:rsidR="00C244E7" w:rsidRPr="003D3F7A" w:rsidSect="007F19E5">
      <w:footerReference w:type="default" r:id="rId38"/>
      <w:pgSz w:w="12240" w:h="15840"/>
      <w:pgMar w:top="576" w:right="576" w:bottom="576"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548F5" w14:textId="77777777" w:rsidR="007F19E5" w:rsidRDefault="007F19E5" w:rsidP="00A243A2">
      <w:r>
        <w:separator/>
      </w:r>
    </w:p>
  </w:endnote>
  <w:endnote w:type="continuationSeparator" w:id="0">
    <w:p w14:paraId="40F7D43E" w14:textId="77777777" w:rsidR="007F19E5" w:rsidRDefault="007F19E5" w:rsidP="00A24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7747390"/>
      <w:docPartObj>
        <w:docPartGallery w:val="Page Numbers (Bottom of Page)"/>
        <w:docPartUnique/>
      </w:docPartObj>
    </w:sdtPr>
    <w:sdtContent>
      <w:sdt>
        <w:sdtPr>
          <w:id w:val="1728636285"/>
          <w:docPartObj>
            <w:docPartGallery w:val="Page Numbers (Top of Page)"/>
            <w:docPartUnique/>
          </w:docPartObj>
        </w:sdtPr>
        <w:sdtContent>
          <w:p w14:paraId="3B330A45" w14:textId="0267A903" w:rsidR="00A243A2" w:rsidRDefault="00A243A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876CB8B" w14:textId="77777777" w:rsidR="00A243A2" w:rsidRDefault="00A243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5C5E5" w14:textId="77777777" w:rsidR="007F19E5" w:rsidRDefault="007F19E5" w:rsidP="00A243A2">
      <w:r>
        <w:separator/>
      </w:r>
    </w:p>
  </w:footnote>
  <w:footnote w:type="continuationSeparator" w:id="0">
    <w:p w14:paraId="5B297A04" w14:textId="77777777" w:rsidR="007F19E5" w:rsidRDefault="007F19E5" w:rsidP="00A243A2">
      <w:r>
        <w:continuationSeparator/>
      </w:r>
    </w:p>
  </w:footnote>
  <w:footnote w:id="1">
    <w:p w14:paraId="0243F1A3" w14:textId="725F3784" w:rsidR="00BE24FC" w:rsidRDefault="00BE24FC">
      <w:pPr>
        <w:pStyle w:val="FootnoteText"/>
      </w:pPr>
      <w:r>
        <w:rPr>
          <w:rStyle w:val="FootnoteReference"/>
        </w:rPr>
        <w:footnoteRef/>
      </w:r>
      <w:r>
        <w:t xml:space="preserve"> </w:t>
      </w:r>
      <w:r w:rsidR="00DB40FA">
        <w:t xml:space="preserve">IPUMS is </w:t>
      </w:r>
      <w:r>
        <w:t>an excellent private sector source that provides much more data than do the Census Bureau’s microdata tools</w:t>
      </w:r>
      <w:r w:rsidR="00DB40FA">
        <w:t xml:space="preserve">, including all available decennial censuses from 1850 </w:t>
      </w:r>
      <w:r w:rsidR="003E5494">
        <w:t>forward (the 1890 census records were destroyed</w:t>
      </w:r>
      <w:r w:rsidR="0008453A">
        <w:t xml:space="preserve"> in a fire</w:t>
      </w:r>
      <w:r w:rsidR="003E5494">
        <w:t xml:space="preserve">, and for this year I used the available 1890 Census Bureau </w:t>
      </w:r>
      <w:r w:rsidR="006D1D41">
        <w:t>reports), and the pre-2004 American Community Survey (ACS</w:t>
      </w:r>
      <w:r w:rsidR="00654CA2">
        <w:t>) data (</w:t>
      </w:r>
      <w:r w:rsidR="006D1D41">
        <w:t xml:space="preserve">not used </w:t>
      </w:r>
      <w:r w:rsidR="00654CA2">
        <w:t>here).</w:t>
      </w:r>
    </w:p>
  </w:footnote>
  <w:footnote w:id="2">
    <w:p w14:paraId="340C36ED" w14:textId="4B5BF456" w:rsidR="00E21314" w:rsidRDefault="00E21314">
      <w:pPr>
        <w:pStyle w:val="FootnoteText"/>
      </w:pPr>
      <w:r>
        <w:rPr>
          <w:rStyle w:val="FootnoteReference"/>
        </w:rPr>
        <w:footnoteRef/>
      </w:r>
      <w:r>
        <w:t xml:space="preserve"> </w:t>
      </w:r>
      <w:r w:rsidR="008B0386">
        <w:t xml:space="preserve">The employment-to-population ratio measures the proportion of the population that </w:t>
      </w:r>
      <w:r w:rsidR="002F5FE5">
        <w:t>works, and the labor force participation rate measures the proportion of the population that is either working</w:t>
      </w:r>
      <w:r w:rsidR="00FD47FD">
        <w:t>,</w:t>
      </w:r>
      <w:r w:rsidR="002F5FE5">
        <w:t xml:space="preserve"> or unemployed and looking for </w:t>
      </w:r>
      <w:r w:rsidR="00FD47FD">
        <w:t xml:space="preserve">work.  </w:t>
      </w:r>
    </w:p>
  </w:footnote>
  <w:footnote w:id="3">
    <w:p w14:paraId="416E98FB" w14:textId="6E14D331" w:rsidR="00777C56" w:rsidRDefault="00777C56">
      <w:pPr>
        <w:pStyle w:val="FootnoteText"/>
      </w:pPr>
      <w:r>
        <w:rPr>
          <w:rStyle w:val="FootnoteReference"/>
        </w:rPr>
        <w:footnoteRef/>
      </w:r>
      <w:r>
        <w:t xml:space="preserve"> </w:t>
      </w:r>
      <w:r w:rsidR="00793BF3">
        <w:t xml:space="preserve">We don’t know the precise retirement ages, and I’m also working on a separate examination of the interaction between retirement and </w:t>
      </w:r>
      <w:r w:rsidR="00CE2F5C">
        <w:t xml:space="preserve">work among the elderly.  </w:t>
      </w:r>
      <w:r w:rsidR="00C870B2">
        <w:t>However, it is certain that a large proportion of retirees retired prior to age 62</w:t>
      </w:r>
      <w:r w:rsidR="0042151E">
        <w:t xml:space="preserve"> </w:t>
      </w:r>
      <w:r w:rsidR="000674DF">
        <w:t xml:space="preserve">– almost certainly more than half, as in 2019 42 percent </w:t>
      </w:r>
      <w:r w:rsidR="00E35C25" w:rsidRPr="00E35C25">
        <w:t>of retirees reported that they had retired by age 59.</w:t>
      </w:r>
    </w:p>
  </w:footnote>
  <w:footnote w:id="4">
    <w:p w14:paraId="03A51845" w14:textId="3E3D26D0" w:rsidR="00262355" w:rsidRDefault="00262355">
      <w:pPr>
        <w:pStyle w:val="FootnoteText"/>
      </w:pPr>
      <w:r>
        <w:rPr>
          <w:rStyle w:val="FootnoteReference"/>
        </w:rPr>
        <w:footnoteRef/>
      </w:r>
      <w:r>
        <w:t xml:space="preserve"> It should be possible to </w:t>
      </w:r>
      <w:r w:rsidR="00283A83">
        <w:t>follow single-year ages over time</w:t>
      </w:r>
      <w:r w:rsidR="00743F92">
        <w:t xml:space="preserve"> (available from BLS unpublished tables)</w:t>
      </w:r>
      <w:r w:rsidR="00283A83">
        <w:t xml:space="preserve">, and examine their employment patterns in 2019 and later years, to </w:t>
      </w:r>
      <w:r w:rsidR="003C632C">
        <w:t xml:space="preserve">try to </w:t>
      </w:r>
      <w:r w:rsidR="00482847">
        <w:t xml:space="preserve">understand </w:t>
      </w:r>
      <w:r w:rsidR="003463AA">
        <w:t xml:space="preserve">the numbered alternatives shown </w:t>
      </w:r>
      <w:r w:rsidR="00E62155">
        <w:t xml:space="preserve">above, but I haven’t </w:t>
      </w:r>
      <w:r w:rsidR="0078013E">
        <w:t xml:space="preserve">analyzed </w:t>
      </w:r>
      <w:r w:rsidR="00482847">
        <w:t xml:space="preserve">the data in </w:t>
      </w:r>
      <w:r w:rsidR="0078013E">
        <w:t xml:space="preserve">this </w:t>
      </w:r>
      <w:r w:rsidR="00740531">
        <w:t xml:space="preserve">degree </w:t>
      </w:r>
      <w:r w:rsidR="0078013E">
        <w:t xml:space="preserve">of detail.  </w:t>
      </w:r>
    </w:p>
  </w:footnote>
  <w:footnote w:id="5">
    <w:p w14:paraId="102C6C0E" w14:textId="5C3E6729" w:rsidR="00F25936" w:rsidRDefault="00F25936">
      <w:pPr>
        <w:pStyle w:val="FootnoteText"/>
      </w:pPr>
      <w:r>
        <w:rPr>
          <w:rStyle w:val="FootnoteReference"/>
        </w:rPr>
        <w:footnoteRef/>
      </w:r>
      <w:r>
        <w:t xml:space="preserve"> </w:t>
      </w:r>
      <w:r w:rsidR="009277F9">
        <w:t xml:space="preserve">For men, the 2023 level was only .1 percentage point below that of 2019, but </w:t>
      </w:r>
      <w:r w:rsidR="00FE3BFB">
        <w:t>because it has continued to rise</w:t>
      </w:r>
      <w:r w:rsidR="00927747">
        <w:t xml:space="preserve"> between 2021 and </w:t>
      </w:r>
      <w:r w:rsidR="00EB77B4">
        <w:t>2023</w:t>
      </w:r>
      <w:r w:rsidR="00FE3BFB">
        <w:t xml:space="preserve">, the 2024 level will almost certainly surpass the 2019 </w:t>
      </w:r>
      <w:r w:rsidR="00EB77B4">
        <w:t xml:space="preserve">average.  </w:t>
      </w:r>
    </w:p>
  </w:footnote>
  <w:footnote w:id="6">
    <w:p w14:paraId="079B7838" w14:textId="61782231" w:rsidR="0040484C" w:rsidRDefault="0040484C">
      <w:pPr>
        <w:pStyle w:val="FootnoteText"/>
      </w:pPr>
      <w:r>
        <w:rPr>
          <w:rStyle w:val="FootnoteReference"/>
        </w:rPr>
        <w:footnoteRef/>
      </w:r>
      <w:r>
        <w:t xml:space="preserve"> I have used 67 as the current retirement age for full benefits, although </w:t>
      </w:r>
      <w:r w:rsidR="0004572C">
        <w:t>we are still a few months short of 67, which will be completely implemented by 2027.</w:t>
      </w:r>
    </w:p>
  </w:footnote>
  <w:footnote w:id="7">
    <w:p w14:paraId="2234C4CD" w14:textId="49C0E5BA" w:rsidR="00644A46" w:rsidRPr="001D0007" w:rsidRDefault="00644A46">
      <w:pPr>
        <w:pStyle w:val="FootnoteText"/>
      </w:pPr>
      <w:r>
        <w:rPr>
          <w:rStyle w:val="FootnoteReference"/>
        </w:rPr>
        <w:footnoteRef/>
      </w:r>
      <w:r>
        <w:t xml:space="preserve"> Quoted in Lucy Parker, </w:t>
      </w:r>
      <w:r w:rsidR="00ED2EEE">
        <w:rPr>
          <w:i/>
          <w:iCs/>
        </w:rPr>
        <w:t>Symeon Stylites the Younger and Late Antique Antioch</w:t>
      </w:r>
      <w:r w:rsidR="001D0007">
        <w:t xml:space="preserve">, </w:t>
      </w:r>
      <w:r w:rsidR="0075672C">
        <w:t>Oxford University Press, 2022, p. 96</w:t>
      </w:r>
      <w:r w:rsidR="00BB34CA">
        <w:t xml:space="preserve">.  Stylites were holy men who spent years and sometimes decades living atop of </w:t>
      </w:r>
      <w:r w:rsidR="00E5295F">
        <w:t xml:space="preserve">columns.  </w:t>
      </w:r>
    </w:p>
  </w:footnote>
  <w:footnote w:id="8">
    <w:p w14:paraId="4CBD0B59" w14:textId="0EE4B793" w:rsidR="0009304E" w:rsidRDefault="0009304E">
      <w:pPr>
        <w:pStyle w:val="FootnoteText"/>
      </w:pPr>
      <w:r>
        <w:rPr>
          <w:rStyle w:val="FootnoteReference"/>
        </w:rPr>
        <w:footnoteRef/>
      </w:r>
      <w:r>
        <w:t xml:space="preserve"> Note that </w:t>
      </w:r>
      <w:r w:rsidR="00A3353D">
        <w:t xml:space="preserve">male employment data are available from the 1850 decennial census, but female employment data aren’t available until the 1860 census.  </w:t>
      </w:r>
    </w:p>
  </w:footnote>
  <w:footnote w:id="9">
    <w:p w14:paraId="76F13D1B" w14:textId="6E693FFD" w:rsidR="00126C1D" w:rsidRDefault="00126C1D">
      <w:pPr>
        <w:pStyle w:val="FootnoteText"/>
      </w:pPr>
      <w:r>
        <w:rPr>
          <w:rStyle w:val="FootnoteReference"/>
        </w:rPr>
        <w:footnoteRef/>
      </w:r>
      <w:r>
        <w:t xml:space="preserve"> </w:t>
      </w:r>
      <w:r w:rsidRPr="00126C1D">
        <w:t xml:space="preserve">Acemoglu, Autor, and Lyle, Women, War and Wages:  </w:t>
      </w:r>
      <w:r w:rsidRPr="009C0ABC">
        <w:rPr>
          <w:i/>
          <w:iCs/>
        </w:rPr>
        <w:t>The Effect of Female Labor Supply on the Wage Structure at Mid-Century</w:t>
      </w:r>
      <w:r w:rsidRPr="00126C1D">
        <w:t>, NBER Working Paper 9013, June 2002, Figure 2, p. 65 of pdf</w:t>
      </w:r>
      <w:r>
        <w:t xml:space="preserve">, </w:t>
      </w:r>
      <w:hyperlink r:id="rId1" w:history="1">
        <w:r w:rsidR="009C0ABC" w:rsidRPr="00E57469">
          <w:rPr>
            <w:rStyle w:val="Hyperlink"/>
          </w:rPr>
          <w:t>www.nber.org/system/files/working_papers/w9013/w9013.pdf</w:t>
        </w:r>
      </w:hyperlink>
      <w:r w:rsidR="009C0ABC">
        <w:t xml:space="preserve"> </w:t>
      </w:r>
    </w:p>
  </w:footnote>
  <w:footnote w:id="10">
    <w:p w14:paraId="1BD36FF8" w14:textId="77777777" w:rsidR="00F46E16" w:rsidRDefault="003F519B">
      <w:pPr>
        <w:pStyle w:val="FootnoteText"/>
      </w:pPr>
      <w:r>
        <w:rPr>
          <w:rStyle w:val="FootnoteReference"/>
        </w:rPr>
        <w:footnoteRef/>
      </w:r>
      <w:r>
        <w:t xml:space="preserve"> </w:t>
      </w:r>
      <w:r w:rsidR="00572D6B" w:rsidRPr="00572D6B">
        <w:t xml:space="preserve">March 1944 data calculated from U.S. Department of Labor, Women's Bureau, </w:t>
      </w:r>
      <w:r w:rsidR="00572D6B" w:rsidRPr="00F46E16">
        <w:rPr>
          <w:i/>
          <w:iCs/>
        </w:rPr>
        <w:t>Changes in Women's Employment During the War</w:t>
      </w:r>
      <w:r w:rsidR="00572D6B" w:rsidRPr="00572D6B">
        <w:t>, June 1944, Special Bulletin Number 20, Tables 1 and 11, pp. 24, 29</w:t>
      </w:r>
      <w:r w:rsidR="00572D6B">
        <w:t>,</w:t>
      </w:r>
      <w:r w:rsidR="00F46E16">
        <w:t xml:space="preserve"> </w:t>
      </w:r>
      <w:hyperlink r:id="rId2" w:history="1">
        <w:r w:rsidR="00F46E16" w:rsidRPr="00E57469">
          <w:rPr>
            <w:rStyle w:val="Hyperlink"/>
          </w:rPr>
          <w:t>https://fraser.stlouisfed.org/files/docs/publications/women/sb020_dolwb_194406.pdf</w:t>
        </w:r>
      </w:hyperlink>
      <w:r w:rsidR="00F46E16">
        <w:t xml:space="preserve">.  </w:t>
      </w:r>
    </w:p>
    <w:p w14:paraId="27E65D30" w14:textId="201EDB75" w:rsidR="003F519B" w:rsidRPr="00B86A30" w:rsidRDefault="003F519B">
      <w:pPr>
        <w:pStyle w:val="FootnoteText"/>
      </w:pPr>
      <w:r>
        <w:t xml:space="preserve">See </w:t>
      </w:r>
      <w:r w:rsidR="00572D6B">
        <w:t>also</w:t>
      </w:r>
      <w:r>
        <w:t xml:space="preserve"> Doris Weather</w:t>
      </w:r>
      <w:r w:rsidR="00B86A30">
        <w:t xml:space="preserve">ford, </w:t>
      </w:r>
      <w:r w:rsidR="00B86A30">
        <w:rPr>
          <w:i/>
          <w:iCs/>
        </w:rPr>
        <w:t>American Women During World War II:  An Encyclopedia</w:t>
      </w:r>
      <w:r w:rsidR="00B86A30">
        <w:t xml:space="preserve">, </w:t>
      </w:r>
      <w:r w:rsidR="00F27EB4">
        <w:t xml:space="preserve">2010, </w:t>
      </w:r>
      <w:r w:rsidR="00824B4E">
        <w:t>Routledge</w:t>
      </w:r>
      <w:r w:rsidR="008127C9">
        <w:t>, pp. 146-150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73BD1"/>
    <w:multiLevelType w:val="hybridMultilevel"/>
    <w:tmpl w:val="1876C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85321D"/>
    <w:multiLevelType w:val="hybridMultilevel"/>
    <w:tmpl w:val="8506B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5A37BD"/>
    <w:multiLevelType w:val="hybridMultilevel"/>
    <w:tmpl w:val="3E826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2C120C"/>
    <w:multiLevelType w:val="hybridMultilevel"/>
    <w:tmpl w:val="10E47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6C2F6D"/>
    <w:multiLevelType w:val="hybridMultilevel"/>
    <w:tmpl w:val="2B3AD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2346716">
    <w:abstractNumId w:val="4"/>
  </w:num>
  <w:num w:numId="2" w16cid:durableId="1868563967">
    <w:abstractNumId w:val="2"/>
  </w:num>
  <w:num w:numId="3" w16cid:durableId="847909431">
    <w:abstractNumId w:val="0"/>
  </w:num>
  <w:num w:numId="4" w16cid:durableId="961501655">
    <w:abstractNumId w:val="3"/>
  </w:num>
  <w:num w:numId="5" w16cid:durableId="952324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892"/>
    <w:rsid w:val="000009A8"/>
    <w:rsid w:val="00001DBA"/>
    <w:rsid w:val="00002754"/>
    <w:rsid w:val="00003553"/>
    <w:rsid w:val="00003C9F"/>
    <w:rsid w:val="000044BF"/>
    <w:rsid w:val="00004AA2"/>
    <w:rsid w:val="000062BE"/>
    <w:rsid w:val="0001030D"/>
    <w:rsid w:val="000109C6"/>
    <w:rsid w:val="00010AB6"/>
    <w:rsid w:val="00011E7A"/>
    <w:rsid w:val="00012A06"/>
    <w:rsid w:val="00013FD1"/>
    <w:rsid w:val="00016F01"/>
    <w:rsid w:val="0001792C"/>
    <w:rsid w:val="000208C0"/>
    <w:rsid w:val="0002092E"/>
    <w:rsid w:val="00023284"/>
    <w:rsid w:val="00025E87"/>
    <w:rsid w:val="00027E55"/>
    <w:rsid w:val="000317BC"/>
    <w:rsid w:val="00037691"/>
    <w:rsid w:val="0003796E"/>
    <w:rsid w:val="000409A3"/>
    <w:rsid w:val="0004333A"/>
    <w:rsid w:val="00043D9D"/>
    <w:rsid w:val="00043E5B"/>
    <w:rsid w:val="0004572C"/>
    <w:rsid w:val="00047857"/>
    <w:rsid w:val="0004793E"/>
    <w:rsid w:val="00047991"/>
    <w:rsid w:val="000514BF"/>
    <w:rsid w:val="00051CFD"/>
    <w:rsid w:val="000560C2"/>
    <w:rsid w:val="000600F4"/>
    <w:rsid w:val="00062577"/>
    <w:rsid w:val="0006357B"/>
    <w:rsid w:val="000674DF"/>
    <w:rsid w:val="0007257F"/>
    <w:rsid w:val="000727E2"/>
    <w:rsid w:val="00080439"/>
    <w:rsid w:val="00081224"/>
    <w:rsid w:val="00081B1C"/>
    <w:rsid w:val="00082128"/>
    <w:rsid w:val="00082CD4"/>
    <w:rsid w:val="0008453A"/>
    <w:rsid w:val="00086D0A"/>
    <w:rsid w:val="00087C49"/>
    <w:rsid w:val="00091273"/>
    <w:rsid w:val="00092E56"/>
    <w:rsid w:val="0009304E"/>
    <w:rsid w:val="00093EBA"/>
    <w:rsid w:val="000940F3"/>
    <w:rsid w:val="0009425E"/>
    <w:rsid w:val="0009754A"/>
    <w:rsid w:val="000A0736"/>
    <w:rsid w:val="000A1552"/>
    <w:rsid w:val="000A2918"/>
    <w:rsid w:val="000A2D27"/>
    <w:rsid w:val="000A3F3D"/>
    <w:rsid w:val="000A4A66"/>
    <w:rsid w:val="000A6320"/>
    <w:rsid w:val="000B1566"/>
    <w:rsid w:val="000B18A7"/>
    <w:rsid w:val="000B4F66"/>
    <w:rsid w:val="000B5215"/>
    <w:rsid w:val="000B6B85"/>
    <w:rsid w:val="000B78DF"/>
    <w:rsid w:val="000C11DB"/>
    <w:rsid w:val="000C1F95"/>
    <w:rsid w:val="000C269D"/>
    <w:rsid w:val="000C38B8"/>
    <w:rsid w:val="000C4C97"/>
    <w:rsid w:val="000C70E4"/>
    <w:rsid w:val="000C7526"/>
    <w:rsid w:val="000C7599"/>
    <w:rsid w:val="000C7770"/>
    <w:rsid w:val="000D1044"/>
    <w:rsid w:val="000D2114"/>
    <w:rsid w:val="000D29FF"/>
    <w:rsid w:val="000D2CA7"/>
    <w:rsid w:val="000D3F62"/>
    <w:rsid w:val="000E0611"/>
    <w:rsid w:val="000E093A"/>
    <w:rsid w:val="000E34F0"/>
    <w:rsid w:val="000E3823"/>
    <w:rsid w:val="000E534E"/>
    <w:rsid w:val="000E7368"/>
    <w:rsid w:val="000F216F"/>
    <w:rsid w:val="000F3981"/>
    <w:rsid w:val="000F51FE"/>
    <w:rsid w:val="000F6FBF"/>
    <w:rsid w:val="000F7F80"/>
    <w:rsid w:val="00100081"/>
    <w:rsid w:val="001025F7"/>
    <w:rsid w:val="001036DF"/>
    <w:rsid w:val="00104891"/>
    <w:rsid w:val="00105CAE"/>
    <w:rsid w:val="001066F7"/>
    <w:rsid w:val="001101E4"/>
    <w:rsid w:val="0011066D"/>
    <w:rsid w:val="001124E5"/>
    <w:rsid w:val="0011589C"/>
    <w:rsid w:val="0011619B"/>
    <w:rsid w:val="00116F5A"/>
    <w:rsid w:val="00117C5D"/>
    <w:rsid w:val="00122B69"/>
    <w:rsid w:val="00123FF8"/>
    <w:rsid w:val="00126365"/>
    <w:rsid w:val="00126C1D"/>
    <w:rsid w:val="00132BB3"/>
    <w:rsid w:val="001342EA"/>
    <w:rsid w:val="001343E0"/>
    <w:rsid w:val="00135215"/>
    <w:rsid w:val="00136816"/>
    <w:rsid w:val="00136FF3"/>
    <w:rsid w:val="00141D0D"/>
    <w:rsid w:val="00144985"/>
    <w:rsid w:val="00144E23"/>
    <w:rsid w:val="00144F8E"/>
    <w:rsid w:val="0014541A"/>
    <w:rsid w:val="0015096D"/>
    <w:rsid w:val="00151034"/>
    <w:rsid w:val="00151260"/>
    <w:rsid w:val="00154166"/>
    <w:rsid w:val="001608C4"/>
    <w:rsid w:val="00161049"/>
    <w:rsid w:val="00164218"/>
    <w:rsid w:val="00164388"/>
    <w:rsid w:val="00165015"/>
    <w:rsid w:val="00166FD2"/>
    <w:rsid w:val="0017230D"/>
    <w:rsid w:val="0017421B"/>
    <w:rsid w:val="00174FE3"/>
    <w:rsid w:val="00175298"/>
    <w:rsid w:val="00176DDE"/>
    <w:rsid w:val="0017769F"/>
    <w:rsid w:val="00180817"/>
    <w:rsid w:val="0018108C"/>
    <w:rsid w:val="001810E5"/>
    <w:rsid w:val="001811AD"/>
    <w:rsid w:val="001846B4"/>
    <w:rsid w:val="001853CA"/>
    <w:rsid w:val="00185997"/>
    <w:rsid w:val="00186255"/>
    <w:rsid w:val="00187B66"/>
    <w:rsid w:val="00191C6A"/>
    <w:rsid w:val="00193DAA"/>
    <w:rsid w:val="00195FC1"/>
    <w:rsid w:val="0019760C"/>
    <w:rsid w:val="001A22D7"/>
    <w:rsid w:val="001A2E6D"/>
    <w:rsid w:val="001B0B89"/>
    <w:rsid w:val="001B2354"/>
    <w:rsid w:val="001B2501"/>
    <w:rsid w:val="001B381F"/>
    <w:rsid w:val="001B3C2F"/>
    <w:rsid w:val="001B435B"/>
    <w:rsid w:val="001B4AAC"/>
    <w:rsid w:val="001B6846"/>
    <w:rsid w:val="001C15F4"/>
    <w:rsid w:val="001C308A"/>
    <w:rsid w:val="001D0007"/>
    <w:rsid w:val="001D2074"/>
    <w:rsid w:val="001D20B7"/>
    <w:rsid w:val="001D20F5"/>
    <w:rsid w:val="001D3366"/>
    <w:rsid w:val="001D3B7F"/>
    <w:rsid w:val="001D404E"/>
    <w:rsid w:val="001D4C9B"/>
    <w:rsid w:val="001D6A9C"/>
    <w:rsid w:val="001D6F03"/>
    <w:rsid w:val="001D7AA0"/>
    <w:rsid w:val="001D7E87"/>
    <w:rsid w:val="001E0520"/>
    <w:rsid w:val="001E4F70"/>
    <w:rsid w:val="001E552B"/>
    <w:rsid w:val="001E5D54"/>
    <w:rsid w:val="001E6C47"/>
    <w:rsid w:val="001E72BC"/>
    <w:rsid w:val="001F075A"/>
    <w:rsid w:val="001F0A77"/>
    <w:rsid w:val="001F4685"/>
    <w:rsid w:val="001F575A"/>
    <w:rsid w:val="001F6AAD"/>
    <w:rsid w:val="001F720A"/>
    <w:rsid w:val="001F7AEB"/>
    <w:rsid w:val="002022C9"/>
    <w:rsid w:val="002032DE"/>
    <w:rsid w:val="002042E7"/>
    <w:rsid w:val="002066CF"/>
    <w:rsid w:val="0020671B"/>
    <w:rsid w:val="00207FD5"/>
    <w:rsid w:val="002129E9"/>
    <w:rsid w:val="002135ED"/>
    <w:rsid w:val="00215E84"/>
    <w:rsid w:val="00216D95"/>
    <w:rsid w:val="00217FAF"/>
    <w:rsid w:val="002201D5"/>
    <w:rsid w:val="00220515"/>
    <w:rsid w:val="002228B6"/>
    <w:rsid w:val="00224F9A"/>
    <w:rsid w:val="00227FE4"/>
    <w:rsid w:val="0023072A"/>
    <w:rsid w:val="002307BB"/>
    <w:rsid w:val="00235925"/>
    <w:rsid w:val="0023596C"/>
    <w:rsid w:val="00237008"/>
    <w:rsid w:val="00237B27"/>
    <w:rsid w:val="00240EC1"/>
    <w:rsid w:val="0024210D"/>
    <w:rsid w:val="00243A53"/>
    <w:rsid w:val="00246566"/>
    <w:rsid w:val="00246C86"/>
    <w:rsid w:val="00251F15"/>
    <w:rsid w:val="00253260"/>
    <w:rsid w:val="00255152"/>
    <w:rsid w:val="00256FB4"/>
    <w:rsid w:val="00257036"/>
    <w:rsid w:val="00257BF1"/>
    <w:rsid w:val="00261900"/>
    <w:rsid w:val="00262355"/>
    <w:rsid w:val="00262DF2"/>
    <w:rsid w:val="00263E35"/>
    <w:rsid w:val="00266D56"/>
    <w:rsid w:val="0026780D"/>
    <w:rsid w:val="0027352C"/>
    <w:rsid w:val="002740D7"/>
    <w:rsid w:val="0027425E"/>
    <w:rsid w:val="0027438B"/>
    <w:rsid w:val="00276ADE"/>
    <w:rsid w:val="00277E66"/>
    <w:rsid w:val="00283A83"/>
    <w:rsid w:val="00284FF8"/>
    <w:rsid w:val="00287F92"/>
    <w:rsid w:val="00290262"/>
    <w:rsid w:val="00291307"/>
    <w:rsid w:val="00291C18"/>
    <w:rsid w:val="00293915"/>
    <w:rsid w:val="00295790"/>
    <w:rsid w:val="00296A5F"/>
    <w:rsid w:val="00296E21"/>
    <w:rsid w:val="002A01B8"/>
    <w:rsid w:val="002A2FF2"/>
    <w:rsid w:val="002A3751"/>
    <w:rsid w:val="002A4460"/>
    <w:rsid w:val="002A5721"/>
    <w:rsid w:val="002A5D30"/>
    <w:rsid w:val="002B05C1"/>
    <w:rsid w:val="002B11ED"/>
    <w:rsid w:val="002B1A30"/>
    <w:rsid w:val="002B1D71"/>
    <w:rsid w:val="002B4740"/>
    <w:rsid w:val="002B566B"/>
    <w:rsid w:val="002C5378"/>
    <w:rsid w:val="002C5795"/>
    <w:rsid w:val="002C6777"/>
    <w:rsid w:val="002C6810"/>
    <w:rsid w:val="002C7515"/>
    <w:rsid w:val="002D0A3E"/>
    <w:rsid w:val="002D31C5"/>
    <w:rsid w:val="002D6832"/>
    <w:rsid w:val="002D68C4"/>
    <w:rsid w:val="002E04DC"/>
    <w:rsid w:val="002E0EB3"/>
    <w:rsid w:val="002E1C48"/>
    <w:rsid w:val="002E33CC"/>
    <w:rsid w:val="002E3A7C"/>
    <w:rsid w:val="002F018C"/>
    <w:rsid w:val="002F0EFB"/>
    <w:rsid w:val="002F125B"/>
    <w:rsid w:val="002F3F8B"/>
    <w:rsid w:val="002F44E6"/>
    <w:rsid w:val="002F5FE5"/>
    <w:rsid w:val="002F6B7C"/>
    <w:rsid w:val="002F7B94"/>
    <w:rsid w:val="003005A4"/>
    <w:rsid w:val="00301004"/>
    <w:rsid w:val="00302993"/>
    <w:rsid w:val="003029A9"/>
    <w:rsid w:val="003036A0"/>
    <w:rsid w:val="003040FC"/>
    <w:rsid w:val="00307EAC"/>
    <w:rsid w:val="00310083"/>
    <w:rsid w:val="00316ACD"/>
    <w:rsid w:val="0032238A"/>
    <w:rsid w:val="0032286A"/>
    <w:rsid w:val="00323A1B"/>
    <w:rsid w:val="00324271"/>
    <w:rsid w:val="0033068D"/>
    <w:rsid w:val="00330E3B"/>
    <w:rsid w:val="00340292"/>
    <w:rsid w:val="0034081A"/>
    <w:rsid w:val="003408A2"/>
    <w:rsid w:val="00344EB2"/>
    <w:rsid w:val="0034592F"/>
    <w:rsid w:val="003462B8"/>
    <w:rsid w:val="003463AA"/>
    <w:rsid w:val="003470FD"/>
    <w:rsid w:val="0034751A"/>
    <w:rsid w:val="00350407"/>
    <w:rsid w:val="00350DA6"/>
    <w:rsid w:val="00355282"/>
    <w:rsid w:val="00356A9E"/>
    <w:rsid w:val="003570AB"/>
    <w:rsid w:val="003571DE"/>
    <w:rsid w:val="003624C2"/>
    <w:rsid w:val="0036341F"/>
    <w:rsid w:val="003647D4"/>
    <w:rsid w:val="003650B8"/>
    <w:rsid w:val="00365E67"/>
    <w:rsid w:val="00367EC1"/>
    <w:rsid w:val="0037443D"/>
    <w:rsid w:val="00374881"/>
    <w:rsid w:val="00375426"/>
    <w:rsid w:val="003754E3"/>
    <w:rsid w:val="003755B3"/>
    <w:rsid w:val="0038113C"/>
    <w:rsid w:val="003815A9"/>
    <w:rsid w:val="0038167B"/>
    <w:rsid w:val="003853F0"/>
    <w:rsid w:val="00391F41"/>
    <w:rsid w:val="003931C2"/>
    <w:rsid w:val="00396258"/>
    <w:rsid w:val="003969C5"/>
    <w:rsid w:val="00397093"/>
    <w:rsid w:val="003A1EA7"/>
    <w:rsid w:val="003A4A67"/>
    <w:rsid w:val="003A59C9"/>
    <w:rsid w:val="003B0B33"/>
    <w:rsid w:val="003B63CA"/>
    <w:rsid w:val="003B6F6C"/>
    <w:rsid w:val="003B6FEB"/>
    <w:rsid w:val="003B7492"/>
    <w:rsid w:val="003C03C9"/>
    <w:rsid w:val="003C2267"/>
    <w:rsid w:val="003C3D14"/>
    <w:rsid w:val="003C632C"/>
    <w:rsid w:val="003C7AF9"/>
    <w:rsid w:val="003D2E3E"/>
    <w:rsid w:val="003D30A5"/>
    <w:rsid w:val="003D3524"/>
    <w:rsid w:val="003D3BBF"/>
    <w:rsid w:val="003D3F7A"/>
    <w:rsid w:val="003D508E"/>
    <w:rsid w:val="003D5610"/>
    <w:rsid w:val="003D7CF1"/>
    <w:rsid w:val="003D7ED0"/>
    <w:rsid w:val="003E11AD"/>
    <w:rsid w:val="003E236D"/>
    <w:rsid w:val="003E2D16"/>
    <w:rsid w:val="003E34DA"/>
    <w:rsid w:val="003E5494"/>
    <w:rsid w:val="003E65D2"/>
    <w:rsid w:val="003F0F4E"/>
    <w:rsid w:val="003F1982"/>
    <w:rsid w:val="003F1CD7"/>
    <w:rsid w:val="003F241D"/>
    <w:rsid w:val="003F2DA8"/>
    <w:rsid w:val="003F3B19"/>
    <w:rsid w:val="003F4A38"/>
    <w:rsid w:val="003F519B"/>
    <w:rsid w:val="003F676B"/>
    <w:rsid w:val="003F6AF8"/>
    <w:rsid w:val="003F74DC"/>
    <w:rsid w:val="003F7D04"/>
    <w:rsid w:val="00401298"/>
    <w:rsid w:val="004030DE"/>
    <w:rsid w:val="0040484C"/>
    <w:rsid w:val="004049D7"/>
    <w:rsid w:val="00405467"/>
    <w:rsid w:val="004058C6"/>
    <w:rsid w:val="00405B80"/>
    <w:rsid w:val="00407190"/>
    <w:rsid w:val="00411679"/>
    <w:rsid w:val="00412054"/>
    <w:rsid w:val="00412D25"/>
    <w:rsid w:val="00413734"/>
    <w:rsid w:val="00413BE5"/>
    <w:rsid w:val="00413EBF"/>
    <w:rsid w:val="00414E76"/>
    <w:rsid w:val="00416169"/>
    <w:rsid w:val="00420BB0"/>
    <w:rsid w:val="00421130"/>
    <w:rsid w:val="0042151E"/>
    <w:rsid w:val="00422AFE"/>
    <w:rsid w:val="004249AB"/>
    <w:rsid w:val="00424B50"/>
    <w:rsid w:val="00426318"/>
    <w:rsid w:val="00426D4B"/>
    <w:rsid w:val="00426DB0"/>
    <w:rsid w:val="00427BE5"/>
    <w:rsid w:val="00427CF8"/>
    <w:rsid w:val="00430494"/>
    <w:rsid w:val="004318C9"/>
    <w:rsid w:val="0043315D"/>
    <w:rsid w:val="0043433B"/>
    <w:rsid w:val="00434A74"/>
    <w:rsid w:val="00437B3E"/>
    <w:rsid w:val="00441AFA"/>
    <w:rsid w:val="00441DB2"/>
    <w:rsid w:val="00442B20"/>
    <w:rsid w:val="004444B8"/>
    <w:rsid w:val="004475D1"/>
    <w:rsid w:val="00447B9B"/>
    <w:rsid w:val="004503D5"/>
    <w:rsid w:val="0045200D"/>
    <w:rsid w:val="0045354A"/>
    <w:rsid w:val="00453B0B"/>
    <w:rsid w:val="00453E82"/>
    <w:rsid w:val="00457D56"/>
    <w:rsid w:val="00460114"/>
    <w:rsid w:val="00460C48"/>
    <w:rsid w:val="0046381A"/>
    <w:rsid w:val="00463CAF"/>
    <w:rsid w:val="004652F1"/>
    <w:rsid w:val="0046642B"/>
    <w:rsid w:val="0046796B"/>
    <w:rsid w:val="004722E6"/>
    <w:rsid w:val="0047286A"/>
    <w:rsid w:val="00473A3D"/>
    <w:rsid w:val="00476BB6"/>
    <w:rsid w:val="004806FE"/>
    <w:rsid w:val="0048094A"/>
    <w:rsid w:val="00482847"/>
    <w:rsid w:val="004834B1"/>
    <w:rsid w:val="0048372A"/>
    <w:rsid w:val="00486203"/>
    <w:rsid w:val="00486322"/>
    <w:rsid w:val="00486CE8"/>
    <w:rsid w:val="00490727"/>
    <w:rsid w:val="00494464"/>
    <w:rsid w:val="004950B0"/>
    <w:rsid w:val="004A003D"/>
    <w:rsid w:val="004A1041"/>
    <w:rsid w:val="004A379A"/>
    <w:rsid w:val="004A45CA"/>
    <w:rsid w:val="004A5FE2"/>
    <w:rsid w:val="004B02DB"/>
    <w:rsid w:val="004B0A0A"/>
    <w:rsid w:val="004B4B30"/>
    <w:rsid w:val="004B4D9E"/>
    <w:rsid w:val="004B5684"/>
    <w:rsid w:val="004B6032"/>
    <w:rsid w:val="004C38AB"/>
    <w:rsid w:val="004C42A6"/>
    <w:rsid w:val="004D1EAF"/>
    <w:rsid w:val="004D38EB"/>
    <w:rsid w:val="004D7E96"/>
    <w:rsid w:val="004E0495"/>
    <w:rsid w:val="004E611E"/>
    <w:rsid w:val="004E7396"/>
    <w:rsid w:val="004F0489"/>
    <w:rsid w:val="004F05F9"/>
    <w:rsid w:val="004F4F2C"/>
    <w:rsid w:val="004F5636"/>
    <w:rsid w:val="004F7EA1"/>
    <w:rsid w:val="00502BA5"/>
    <w:rsid w:val="005036D9"/>
    <w:rsid w:val="00503733"/>
    <w:rsid w:val="005076A6"/>
    <w:rsid w:val="00513606"/>
    <w:rsid w:val="0051384E"/>
    <w:rsid w:val="0051417F"/>
    <w:rsid w:val="005154FE"/>
    <w:rsid w:val="00515B16"/>
    <w:rsid w:val="0051783B"/>
    <w:rsid w:val="00523824"/>
    <w:rsid w:val="00525C4E"/>
    <w:rsid w:val="00530540"/>
    <w:rsid w:val="005324C7"/>
    <w:rsid w:val="005326AC"/>
    <w:rsid w:val="00533BA0"/>
    <w:rsid w:val="00540712"/>
    <w:rsid w:val="00541B70"/>
    <w:rsid w:val="005426B6"/>
    <w:rsid w:val="00544126"/>
    <w:rsid w:val="00544578"/>
    <w:rsid w:val="00544A7D"/>
    <w:rsid w:val="00545FA5"/>
    <w:rsid w:val="00546263"/>
    <w:rsid w:val="00550610"/>
    <w:rsid w:val="0055079D"/>
    <w:rsid w:val="0055131F"/>
    <w:rsid w:val="0055682C"/>
    <w:rsid w:val="00557D04"/>
    <w:rsid w:val="00560D2D"/>
    <w:rsid w:val="00561C8F"/>
    <w:rsid w:val="005630B4"/>
    <w:rsid w:val="005650D5"/>
    <w:rsid w:val="005651CB"/>
    <w:rsid w:val="00570E02"/>
    <w:rsid w:val="0057236C"/>
    <w:rsid w:val="00572D6B"/>
    <w:rsid w:val="00572F2D"/>
    <w:rsid w:val="0057340D"/>
    <w:rsid w:val="00573533"/>
    <w:rsid w:val="00574838"/>
    <w:rsid w:val="0057529C"/>
    <w:rsid w:val="00582816"/>
    <w:rsid w:val="0058347A"/>
    <w:rsid w:val="005851ED"/>
    <w:rsid w:val="00587D33"/>
    <w:rsid w:val="00587D59"/>
    <w:rsid w:val="00591C3A"/>
    <w:rsid w:val="00591E14"/>
    <w:rsid w:val="00592401"/>
    <w:rsid w:val="00594171"/>
    <w:rsid w:val="005965FF"/>
    <w:rsid w:val="0059795C"/>
    <w:rsid w:val="005A0FC0"/>
    <w:rsid w:val="005A2184"/>
    <w:rsid w:val="005A23DE"/>
    <w:rsid w:val="005A27F3"/>
    <w:rsid w:val="005A50A7"/>
    <w:rsid w:val="005A72BB"/>
    <w:rsid w:val="005B1DD0"/>
    <w:rsid w:val="005B44B1"/>
    <w:rsid w:val="005B7F9D"/>
    <w:rsid w:val="005C1CFE"/>
    <w:rsid w:val="005C31E8"/>
    <w:rsid w:val="005C3700"/>
    <w:rsid w:val="005C433C"/>
    <w:rsid w:val="005C514B"/>
    <w:rsid w:val="005D0D0F"/>
    <w:rsid w:val="005D4DEE"/>
    <w:rsid w:val="005D5648"/>
    <w:rsid w:val="005D57B7"/>
    <w:rsid w:val="005D696D"/>
    <w:rsid w:val="005E14ED"/>
    <w:rsid w:val="005E1F24"/>
    <w:rsid w:val="005E251E"/>
    <w:rsid w:val="005E25E9"/>
    <w:rsid w:val="005E347B"/>
    <w:rsid w:val="005F1BAD"/>
    <w:rsid w:val="0060159D"/>
    <w:rsid w:val="0060333F"/>
    <w:rsid w:val="00604580"/>
    <w:rsid w:val="006069E2"/>
    <w:rsid w:val="006107FC"/>
    <w:rsid w:val="0061088C"/>
    <w:rsid w:val="00611063"/>
    <w:rsid w:val="006139DE"/>
    <w:rsid w:val="00613D91"/>
    <w:rsid w:val="00616582"/>
    <w:rsid w:val="00616FF9"/>
    <w:rsid w:val="006170D0"/>
    <w:rsid w:val="00621682"/>
    <w:rsid w:val="00624408"/>
    <w:rsid w:val="00625CF1"/>
    <w:rsid w:val="00627FC2"/>
    <w:rsid w:val="00630F24"/>
    <w:rsid w:val="006316E7"/>
    <w:rsid w:val="00633BF8"/>
    <w:rsid w:val="00635874"/>
    <w:rsid w:val="00637C90"/>
    <w:rsid w:val="006402C0"/>
    <w:rsid w:val="00640B06"/>
    <w:rsid w:val="00643625"/>
    <w:rsid w:val="00643809"/>
    <w:rsid w:val="0064414E"/>
    <w:rsid w:val="006444E7"/>
    <w:rsid w:val="00644A46"/>
    <w:rsid w:val="00645662"/>
    <w:rsid w:val="00646544"/>
    <w:rsid w:val="00652816"/>
    <w:rsid w:val="00654CA2"/>
    <w:rsid w:val="00654CD5"/>
    <w:rsid w:val="00655A8C"/>
    <w:rsid w:val="00660F77"/>
    <w:rsid w:val="006618D6"/>
    <w:rsid w:val="00664EA1"/>
    <w:rsid w:val="00666ED2"/>
    <w:rsid w:val="00670E71"/>
    <w:rsid w:val="00671E3B"/>
    <w:rsid w:val="00674E1D"/>
    <w:rsid w:val="0067677A"/>
    <w:rsid w:val="00676CBD"/>
    <w:rsid w:val="00680898"/>
    <w:rsid w:val="00681944"/>
    <w:rsid w:val="00682503"/>
    <w:rsid w:val="00684E82"/>
    <w:rsid w:val="00687AC1"/>
    <w:rsid w:val="00691347"/>
    <w:rsid w:val="006957C0"/>
    <w:rsid w:val="00697061"/>
    <w:rsid w:val="006973FF"/>
    <w:rsid w:val="006A20AF"/>
    <w:rsid w:val="006A27DE"/>
    <w:rsid w:val="006A35E7"/>
    <w:rsid w:val="006A45A1"/>
    <w:rsid w:val="006B01ED"/>
    <w:rsid w:val="006B1E1A"/>
    <w:rsid w:val="006B2F11"/>
    <w:rsid w:val="006B39B9"/>
    <w:rsid w:val="006B7396"/>
    <w:rsid w:val="006C0DEB"/>
    <w:rsid w:val="006C0ECB"/>
    <w:rsid w:val="006C287E"/>
    <w:rsid w:val="006C2D44"/>
    <w:rsid w:val="006C441C"/>
    <w:rsid w:val="006C5AEA"/>
    <w:rsid w:val="006C6E5E"/>
    <w:rsid w:val="006C7892"/>
    <w:rsid w:val="006D1D41"/>
    <w:rsid w:val="006D24C8"/>
    <w:rsid w:val="006E67A2"/>
    <w:rsid w:val="006E6889"/>
    <w:rsid w:val="006F2D27"/>
    <w:rsid w:val="006F3815"/>
    <w:rsid w:val="006F4997"/>
    <w:rsid w:val="006F514D"/>
    <w:rsid w:val="006F5DF2"/>
    <w:rsid w:val="006F62D9"/>
    <w:rsid w:val="006F6727"/>
    <w:rsid w:val="007008C2"/>
    <w:rsid w:val="00700909"/>
    <w:rsid w:val="00700A67"/>
    <w:rsid w:val="00700EE9"/>
    <w:rsid w:val="00701CCD"/>
    <w:rsid w:val="007042FA"/>
    <w:rsid w:val="00705DE4"/>
    <w:rsid w:val="00711331"/>
    <w:rsid w:val="00714910"/>
    <w:rsid w:val="00716C19"/>
    <w:rsid w:val="007218AC"/>
    <w:rsid w:val="00721C23"/>
    <w:rsid w:val="0072214A"/>
    <w:rsid w:val="007227B4"/>
    <w:rsid w:val="00723997"/>
    <w:rsid w:val="00724D42"/>
    <w:rsid w:val="0072506F"/>
    <w:rsid w:val="00732211"/>
    <w:rsid w:val="00733408"/>
    <w:rsid w:val="007334A4"/>
    <w:rsid w:val="00733F6E"/>
    <w:rsid w:val="00733F92"/>
    <w:rsid w:val="00736445"/>
    <w:rsid w:val="00740531"/>
    <w:rsid w:val="00743F92"/>
    <w:rsid w:val="00745FF7"/>
    <w:rsid w:val="00745FFD"/>
    <w:rsid w:val="00747457"/>
    <w:rsid w:val="007539F1"/>
    <w:rsid w:val="00754FB2"/>
    <w:rsid w:val="007551BE"/>
    <w:rsid w:val="0075672C"/>
    <w:rsid w:val="00760349"/>
    <w:rsid w:val="007608CF"/>
    <w:rsid w:val="00764CB7"/>
    <w:rsid w:val="00765AFA"/>
    <w:rsid w:val="00766A39"/>
    <w:rsid w:val="00767754"/>
    <w:rsid w:val="00770412"/>
    <w:rsid w:val="007733A6"/>
    <w:rsid w:val="0077476B"/>
    <w:rsid w:val="00775CF8"/>
    <w:rsid w:val="00777C56"/>
    <w:rsid w:val="00777DA9"/>
    <w:rsid w:val="0078013E"/>
    <w:rsid w:val="00780ACE"/>
    <w:rsid w:val="00781935"/>
    <w:rsid w:val="007820E0"/>
    <w:rsid w:val="00786B80"/>
    <w:rsid w:val="00791021"/>
    <w:rsid w:val="00791042"/>
    <w:rsid w:val="007923B9"/>
    <w:rsid w:val="00793BF3"/>
    <w:rsid w:val="00794246"/>
    <w:rsid w:val="007955C7"/>
    <w:rsid w:val="00796126"/>
    <w:rsid w:val="007A6320"/>
    <w:rsid w:val="007A7B29"/>
    <w:rsid w:val="007B1B5C"/>
    <w:rsid w:val="007B25C3"/>
    <w:rsid w:val="007B4662"/>
    <w:rsid w:val="007B610E"/>
    <w:rsid w:val="007B71B2"/>
    <w:rsid w:val="007C0330"/>
    <w:rsid w:val="007C20EA"/>
    <w:rsid w:val="007C232B"/>
    <w:rsid w:val="007C65D7"/>
    <w:rsid w:val="007D002E"/>
    <w:rsid w:val="007D0968"/>
    <w:rsid w:val="007D2DA0"/>
    <w:rsid w:val="007D3E4E"/>
    <w:rsid w:val="007D3E57"/>
    <w:rsid w:val="007D5A75"/>
    <w:rsid w:val="007E166E"/>
    <w:rsid w:val="007E16C5"/>
    <w:rsid w:val="007E1CF5"/>
    <w:rsid w:val="007E1FA4"/>
    <w:rsid w:val="007E2393"/>
    <w:rsid w:val="007E3777"/>
    <w:rsid w:val="007E70BE"/>
    <w:rsid w:val="007E7F5F"/>
    <w:rsid w:val="007F19E5"/>
    <w:rsid w:val="007F2A64"/>
    <w:rsid w:val="007F5D8C"/>
    <w:rsid w:val="007F7D35"/>
    <w:rsid w:val="00800977"/>
    <w:rsid w:val="00800E66"/>
    <w:rsid w:val="00801AB9"/>
    <w:rsid w:val="00801D8E"/>
    <w:rsid w:val="0081045E"/>
    <w:rsid w:val="00810F7F"/>
    <w:rsid w:val="008127C9"/>
    <w:rsid w:val="0081405D"/>
    <w:rsid w:val="00815C25"/>
    <w:rsid w:val="008165A6"/>
    <w:rsid w:val="00816FB9"/>
    <w:rsid w:val="00817F5C"/>
    <w:rsid w:val="008212DA"/>
    <w:rsid w:val="00822F1C"/>
    <w:rsid w:val="00823AD4"/>
    <w:rsid w:val="00824A29"/>
    <w:rsid w:val="00824A88"/>
    <w:rsid w:val="00824B4E"/>
    <w:rsid w:val="008303D7"/>
    <w:rsid w:val="008310A8"/>
    <w:rsid w:val="00833431"/>
    <w:rsid w:val="00833B7C"/>
    <w:rsid w:val="00834E8D"/>
    <w:rsid w:val="00835D1A"/>
    <w:rsid w:val="0084063F"/>
    <w:rsid w:val="008408BA"/>
    <w:rsid w:val="0084091E"/>
    <w:rsid w:val="00840934"/>
    <w:rsid w:val="008416C1"/>
    <w:rsid w:val="008465E9"/>
    <w:rsid w:val="0084741B"/>
    <w:rsid w:val="00847E9D"/>
    <w:rsid w:val="0085187E"/>
    <w:rsid w:val="00851FB5"/>
    <w:rsid w:val="00852C0B"/>
    <w:rsid w:val="00853770"/>
    <w:rsid w:val="008537BF"/>
    <w:rsid w:val="00856DDB"/>
    <w:rsid w:val="0086157A"/>
    <w:rsid w:val="00862F2F"/>
    <w:rsid w:val="00863C20"/>
    <w:rsid w:val="00866EFD"/>
    <w:rsid w:val="00867545"/>
    <w:rsid w:val="008679D5"/>
    <w:rsid w:val="00870686"/>
    <w:rsid w:val="00870FE5"/>
    <w:rsid w:val="008712BF"/>
    <w:rsid w:val="008726D0"/>
    <w:rsid w:val="0087410B"/>
    <w:rsid w:val="00875EF7"/>
    <w:rsid w:val="00876617"/>
    <w:rsid w:val="00880C90"/>
    <w:rsid w:val="00884159"/>
    <w:rsid w:val="00885378"/>
    <w:rsid w:val="00886A9A"/>
    <w:rsid w:val="00893304"/>
    <w:rsid w:val="00893EA6"/>
    <w:rsid w:val="008941C6"/>
    <w:rsid w:val="008946DF"/>
    <w:rsid w:val="00896C35"/>
    <w:rsid w:val="00896FF2"/>
    <w:rsid w:val="00897051"/>
    <w:rsid w:val="008A073D"/>
    <w:rsid w:val="008A38F9"/>
    <w:rsid w:val="008A3F07"/>
    <w:rsid w:val="008A76F7"/>
    <w:rsid w:val="008B0386"/>
    <w:rsid w:val="008B323B"/>
    <w:rsid w:val="008B5816"/>
    <w:rsid w:val="008C3355"/>
    <w:rsid w:val="008C5118"/>
    <w:rsid w:val="008C5890"/>
    <w:rsid w:val="008C60E6"/>
    <w:rsid w:val="008C7985"/>
    <w:rsid w:val="008C7BF0"/>
    <w:rsid w:val="008D0051"/>
    <w:rsid w:val="008D2754"/>
    <w:rsid w:val="008D48C1"/>
    <w:rsid w:val="008E270E"/>
    <w:rsid w:val="008E2EC2"/>
    <w:rsid w:val="008E39EB"/>
    <w:rsid w:val="008F03BA"/>
    <w:rsid w:val="008F05A9"/>
    <w:rsid w:val="008F0741"/>
    <w:rsid w:val="008F07FE"/>
    <w:rsid w:val="008F1BE5"/>
    <w:rsid w:val="008F266A"/>
    <w:rsid w:val="008F3C1F"/>
    <w:rsid w:val="008F5A76"/>
    <w:rsid w:val="00901D8B"/>
    <w:rsid w:val="00906914"/>
    <w:rsid w:val="00906EC4"/>
    <w:rsid w:val="00906EE9"/>
    <w:rsid w:val="00907237"/>
    <w:rsid w:val="009077FA"/>
    <w:rsid w:val="00907CA3"/>
    <w:rsid w:val="0091000D"/>
    <w:rsid w:val="00912843"/>
    <w:rsid w:val="0091361C"/>
    <w:rsid w:val="0091635B"/>
    <w:rsid w:val="00916A4F"/>
    <w:rsid w:val="0092067A"/>
    <w:rsid w:val="00922497"/>
    <w:rsid w:val="00927485"/>
    <w:rsid w:val="00927747"/>
    <w:rsid w:val="009277F9"/>
    <w:rsid w:val="0092791E"/>
    <w:rsid w:val="00935984"/>
    <w:rsid w:val="00937AEC"/>
    <w:rsid w:val="0094196E"/>
    <w:rsid w:val="009423E6"/>
    <w:rsid w:val="009431F3"/>
    <w:rsid w:val="00944CE0"/>
    <w:rsid w:val="009468FB"/>
    <w:rsid w:val="009469E2"/>
    <w:rsid w:val="009469FB"/>
    <w:rsid w:val="009519FE"/>
    <w:rsid w:val="0095217D"/>
    <w:rsid w:val="00953A4D"/>
    <w:rsid w:val="00956435"/>
    <w:rsid w:val="00956A5B"/>
    <w:rsid w:val="00957D11"/>
    <w:rsid w:val="00957F3A"/>
    <w:rsid w:val="00964679"/>
    <w:rsid w:val="00965393"/>
    <w:rsid w:val="00965FD9"/>
    <w:rsid w:val="009705E6"/>
    <w:rsid w:val="0097145A"/>
    <w:rsid w:val="009724F3"/>
    <w:rsid w:val="00974232"/>
    <w:rsid w:val="0097646A"/>
    <w:rsid w:val="00983F3B"/>
    <w:rsid w:val="00990FE7"/>
    <w:rsid w:val="0099123B"/>
    <w:rsid w:val="00992E34"/>
    <w:rsid w:val="00994AC5"/>
    <w:rsid w:val="009A0462"/>
    <w:rsid w:val="009A7FCE"/>
    <w:rsid w:val="009B1A23"/>
    <w:rsid w:val="009B480D"/>
    <w:rsid w:val="009B4981"/>
    <w:rsid w:val="009B6E02"/>
    <w:rsid w:val="009B7F6B"/>
    <w:rsid w:val="009C02B7"/>
    <w:rsid w:val="009C037F"/>
    <w:rsid w:val="009C088C"/>
    <w:rsid w:val="009C0ABC"/>
    <w:rsid w:val="009C1DBC"/>
    <w:rsid w:val="009C2212"/>
    <w:rsid w:val="009C28FE"/>
    <w:rsid w:val="009C2D1F"/>
    <w:rsid w:val="009C4B6D"/>
    <w:rsid w:val="009D2C3C"/>
    <w:rsid w:val="009D3899"/>
    <w:rsid w:val="009D4EF7"/>
    <w:rsid w:val="009D64AB"/>
    <w:rsid w:val="009D7543"/>
    <w:rsid w:val="009E0A6B"/>
    <w:rsid w:val="009E0EB2"/>
    <w:rsid w:val="009E2629"/>
    <w:rsid w:val="009E5B41"/>
    <w:rsid w:val="009E61B7"/>
    <w:rsid w:val="009E69AE"/>
    <w:rsid w:val="009F34AA"/>
    <w:rsid w:val="009F53CD"/>
    <w:rsid w:val="009F58BC"/>
    <w:rsid w:val="009F65E8"/>
    <w:rsid w:val="009F7404"/>
    <w:rsid w:val="00A02416"/>
    <w:rsid w:val="00A0354F"/>
    <w:rsid w:val="00A04977"/>
    <w:rsid w:val="00A054F3"/>
    <w:rsid w:val="00A05FC2"/>
    <w:rsid w:val="00A06116"/>
    <w:rsid w:val="00A07A29"/>
    <w:rsid w:val="00A107B4"/>
    <w:rsid w:val="00A12EB1"/>
    <w:rsid w:val="00A15717"/>
    <w:rsid w:val="00A17418"/>
    <w:rsid w:val="00A243A2"/>
    <w:rsid w:val="00A25071"/>
    <w:rsid w:val="00A26829"/>
    <w:rsid w:val="00A2706F"/>
    <w:rsid w:val="00A2708D"/>
    <w:rsid w:val="00A306E3"/>
    <w:rsid w:val="00A3105B"/>
    <w:rsid w:val="00A32047"/>
    <w:rsid w:val="00A3353D"/>
    <w:rsid w:val="00A34FF2"/>
    <w:rsid w:val="00A41513"/>
    <w:rsid w:val="00A42538"/>
    <w:rsid w:val="00A43A9D"/>
    <w:rsid w:val="00A43C46"/>
    <w:rsid w:val="00A44ECE"/>
    <w:rsid w:val="00A51577"/>
    <w:rsid w:val="00A52BA2"/>
    <w:rsid w:val="00A532FB"/>
    <w:rsid w:val="00A549AA"/>
    <w:rsid w:val="00A602E2"/>
    <w:rsid w:val="00A61319"/>
    <w:rsid w:val="00A62F43"/>
    <w:rsid w:val="00A64A93"/>
    <w:rsid w:val="00A65056"/>
    <w:rsid w:val="00A6759E"/>
    <w:rsid w:val="00A70903"/>
    <w:rsid w:val="00A744B6"/>
    <w:rsid w:val="00A75EBE"/>
    <w:rsid w:val="00A7654A"/>
    <w:rsid w:val="00A77E49"/>
    <w:rsid w:val="00A816A7"/>
    <w:rsid w:val="00A81A59"/>
    <w:rsid w:val="00A81CEB"/>
    <w:rsid w:val="00A83469"/>
    <w:rsid w:val="00A83D44"/>
    <w:rsid w:val="00A863AD"/>
    <w:rsid w:val="00A87B26"/>
    <w:rsid w:val="00A90764"/>
    <w:rsid w:val="00A952E8"/>
    <w:rsid w:val="00A95690"/>
    <w:rsid w:val="00A96134"/>
    <w:rsid w:val="00A969AF"/>
    <w:rsid w:val="00A96C2A"/>
    <w:rsid w:val="00A97EE5"/>
    <w:rsid w:val="00AA2B64"/>
    <w:rsid w:val="00AA3367"/>
    <w:rsid w:val="00AA7306"/>
    <w:rsid w:val="00AB1446"/>
    <w:rsid w:val="00AB2311"/>
    <w:rsid w:val="00AB4C34"/>
    <w:rsid w:val="00AB526C"/>
    <w:rsid w:val="00AC4625"/>
    <w:rsid w:val="00AC499C"/>
    <w:rsid w:val="00AC57E1"/>
    <w:rsid w:val="00AC5C34"/>
    <w:rsid w:val="00AC7CBE"/>
    <w:rsid w:val="00AD00D4"/>
    <w:rsid w:val="00AD1305"/>
    <w:rsid w:val="00AD2FF8"/>
    <w:rsid w:val="00AD3469"/>
    <w:rsid w:val="00AD5E0E"/>
    <w:rsid w:val="00AE1D9F"/>
    <w:rsid w:val="00AE3F37"/>
    <w:rsid w:val="00AE7F72"/>
    <w:rsid w:val="00AF1017"/>
    <w:rsid w:val="00AF111D"/>
    <w:rsid w:val="00AF538A"/>
    <w:rsid w:val="00AF6412"/>
    <w:rsid w:val="00B0222E"/>
    <w:rsid w:val="00B03457"/>
    <w:rsid w:val="00B07E43"/>
    <w:rsid w:val="00B12F7B"/>
    <w:rsid w:val="00B17DDA"/>
    <w:rsid w:val="00B2004B"/>
    <w:rsid w:val="00B20DEE"/>
    <w:rsid w:val="00B20EE3"/>
    <w:rsid w:val="00B2130C"/>
    <w:rsid w:val="00B2251B"/>
    <w:rsid w:val="00B22D1B"/>
    <w:rsid w:val="00B261BD"/>
    <w:rsid w:val="00B27546"/>
    <w:rsid w:val="00B35BDE"/>
    <w:rsid w:val="00B40847"/>
    <w:rsid w:val="00B40A0A"/>
    <w:rsid w:val="00B40B40"/>
    <w:rsid w:val="00B420FD"/>
    <w:rsid w:val="00B44786"/>
    <w:rsid w:val="00B449CD"/>
    <w:rsid w:val="00B47430"/>
    <w:rsid w:val="00B50ABD"/>
    <w:rsid w:val="00B51CD2"/>
    <w:rsid w:val="00B5272C"/>
    <w:rsid w:val="00B60B3F"/>
    <w:rsid w:val="00B62E9A"/>
    <w:rsid w:val="00B63FCA"/>
    <w:rsid w:val="00B64093"/>
    <w:rsid w:val="00B65007"/>
    <w:rsid w:val="00B67C48"/>
    <w:rsid w:val="00B733E3"/>
    <w:rsid w:val="00B75BDC"/>
    <w:rsid w:val="00B77B7C"/>
    <w:rsid w:val="00B813BB"/>
    <w:rsid w:val="00B82BD8"/>
    <w:rsid w:val="00B82EC3"/>
    <w:rsid w:val="00B83075"/>
    <w:rsid w:val="00B8353C"/>
    <w:rsid w:val="00B86A30"/>
    <w:rsid w:val="00B87079"/>
    <w:rsid w:val="00B904D3"/>
    <w:rsid w:val="00B91717"/>
    <w:rsid w:val="00B925FB"/>
    <w:rsid w:val="00B9327F"/>
    <w:rsid w:val="00B935D3"/>
    <w:rsid w:val="00B94019"/>
    <w:rsid w:val="00B95F24"/>
    <w:rsid w:val="00B963FE"/>
    <w:rsid w:val="00B97950"/>
    <w:rsid w:val="00BA07B6"/>
    <w:rsid w:val="00BA0C11"/>
    <w:rsid w:val="00BA6ACB"/>
    <w:rsid w:val="00BB0AC2"/>
    <w:rsid w:val="00BB0CEC"/>
    <w:rsid w:val="00BB1AB9"/>
    <w:rsid w:val="00BB1EC3"/>
    <w:rsid w:val="00BB2C8C"/>
    <w:rsid w:val="00BB34CA"/>
    <w:rsid w:val="00BB3B8B"/>
    <w:rsid w:val="00BB6405"/>
    <w:rsid w:val="00BC005D"/>
    <w:rsid w:val="00BC0E01"/>
    <w:rsid w:val="00BC6239"/>
    <w:rsid w:val="00BC6BA4"/>
    <w:rsid w:val="00BD184C"/>
    <w:rsid w:val="00BE0597"/>
    <w:rsid w:val="00BE108B"/>
    <w:rsid w:val="00BE119A"/>
    <w:rsid w:val="00BE2256"/>
    <w:rsid w:val="00BE2271"/>
    <w:rsid w:val="00BE24FC"/>
    <w:rsid w:val="00BE3D1D"/>
    <w:rsid w:val="00C0198C"/>
    <w:rsid w:val="00C1362E"/>
    <w:rsid w:val="00C14544"/>
    <w:rsid w:val="00C202AB"/>
    <w:rsid w:val="00C2317C"/>
    <w:rsid w:val="00C244E7"/>
    <w:rsid w:val="00C263C8"/>
    <w:rsid w:val="00C2765C"/>
    <w:rsid w:val="00C30EC4"/>
    <w:rsid w:val="00C31414"/>
    <w:rsid w:val="00C31CB5"/>
    <w:rsid w:val="00C3431D"/>
    <w:rsid w:val="00C3710F"/>
    <w:rsid w:val="00C379B5"/>
    <w:rsid w:val="00C40EAD"/>
    <w:rsid w:val="00C45B28"/>
    <w:rsid w:val="00C45C57"/>
    <w:rsid w:val="00C46FD6"/>
    <w:rsid w:val="00C515FF"/>
    <w:rsid w:val="00C53CFB"/>
    <w:rsid w:val="00C5494C"/>
    <w:rsid w:val="00C551AA"/>
    <w:rsid w:val="00C572C5"/>
    <w:rsid w:val="00C60DC5"/>
    <w:rsid w:val="00C615AD"/>
    <w:rsid w:val="00C63D9F"/>
    <w:rsid w:val="00C644F8"/>
    <w:rsid w:val="00C66219"/>
    <w:rsid w:val="00C67E84"/>
    <w:rsid w:val="00C74299"/>
    <w:rsid w:val="00C7474F"/>
    <w:rsid w:val="00C76FE7"/>
    <w:rsid w:val="00C80466"/>
    <w:rsid w:val="00C82278"/>
    <w:rsid w:val="00C84220"/>
    <w:rsid w:val="00C842B7"/>
    <w:rsid w:val="00C85EBD"/>
    <w:rsid w:val="00C870B2"/>
    <w:rsid w:val="00C927CA"/>
    <w:rsid w:val="00C92A18"/>
    <w:rsid w:val="00C93E2D"/>
    <w:rsid w:val="00C96667"/>
    <w:rsid w:val="00C974F9"/>
    <w:rsid w:val="00CA6F80"/>
    <w:rsid w:val="00CB1A55"/>
    <w:rsid w:val="00CB3340"/>
    <w:rsid w:val="00CB3CA5"/>
    <w:rsid w:val="00CB55C0"/>
    <w:rsid w:val="00CB72AB"/>
    <w:rsid w:val="00CB793D"/>
    <w:rsid w:val="00CB79A6"/>
    <w:rsid w:val="00CC07D2"/>
    <w:rsid w:val="00CC0C31"/>
    <w:rsid w:val="00CC2A2B"/>
    <w:rsid w:val="00CC36B8"/>
    <w:rsid w:val="00CC54B4"/>
    <w:rsid w:val="00CC70C2"/>
    <w:rsid w:val="00CD12E2"/>
    <w:rsid w:val="00CD13D3"/>
    <w:rsid w:val="00CD1D68"/>
    <w:rsid w:val="00CD1E9C"/>
    <w:rsid w:val="00CD3296"/>
    <w:rsid w:val="00CD3F7A"/>
    <w:rsid w:val="00CD779F"/>
    <w:rsid w:val="00CE2F5C"/>
    <w:rsid w:val="00CE33D6"/>
    <w:rsid w:val="00CE4B30"/>
    <w:rsid w:val="00CE667C"/>
    <w:rsid w:val="00CE717D"/>
    <w:rsid w:val="00CE755F"/>
    <w:rsid w:val="00CF19E2"/>
    <w:rsid w:val="00CF28BA"/>
    <w:rsid w:val="00CF2EFD"/>
    <w:rsid w:val="00CF31BB"/>
    <w:rsid w:val="00CF3895"/>
    <w:rsid w:val="00CF3FDA"/>
    <w:rsid w:val="00CF6A0B"/>
    <w:rsid w:val="00CF6B68"/>
    <w:rsid w:val="00CF6E72"/>
    <w:rsid w:val="00CF79C6"/>
    <w:rsid w:val="00D00539"/>
    <w:rsid w:val="00D009D2"/>
    <w:rsid w:val="00D018E4"/>
    <w:rsid w:val="00D02A26"/>
    <w:rsid w:val="00D05D11"/>
    <w:rsid w:val="00D05E96"/>
    <w:rsid w:val="00D12B6E"/>
    <w:rsid w:val="00D14F20"/>
    <w:rsid w:val="00D14FEF"/>
    <w:rsid w:val="00D1578C"/>
    <w:rsid w:val="00D15E8F"/>
    <w:rsid w:val="00D2487F"/>
    <w:rsid w:val="00D24D19"/>
    <w:rsid w:val="00D2510E"/>
    <w:rsid w:val="00D2603C"/>
    <w:rsid w:val="00D32F2A"/>
    <w:rsid w:val="00D32FCD"/>
    <w:rsid w:val="00D330C9"/>
    <w:rsid w:val="00D3544D"/>
    <w:rsid w:val="00D36024"/>
    <w:rsid w:val="00D364A4"/>
    <w:rsid w:val="00D40DB9"/>
    <w:rsid w:val="00D41092"/>
    <w:rsid w:val="00D4169A"/>
    <w:rsid w:val="00D44A51"/>
    <w:rsid w:val="00D459CE"/>
    <w:rsid w:val="00D467AA"/>
    <w:rsid w:val="00D46F78"/>
    <w:rsid w:val="00D47D43"/>
    <w:rsid w:val="00D47D77"/>
    <w:rsid w:val="00D47EED"/>
    <w:rsid w:val="00D5005A"/>
    <w:rsid w:val="00D5256F"/>
    <w:rsid w:val="00D530B6"/>
    <w:rsid w:val="00D540BE"/>
    <w:rsid w:val="00D57486"/>
    <w:rsid w:val="00D60A0A"/>
    <w:rsid w:val="00D61E00"/>
    <w:rsid w:val="00D62361"/>
    <w:rsid w:val="00D62A95"/>
    <w:rsid w:val="00D63D3B"/>
    <w:rsid w:val="00D65CA5"/>
    <w:rsid w:val="00D65E60"/>
    <w:rsid w:val="00D66859"/>
    <w:rsid w:val="00D67CCD"/>
    <w:rsid w:val="00D71516"/>
    <w:rsid w:val="00D72199"/>
    <w:rsid w:val="00D729D7"/>
    <w:rsid w:val="00D734C8"/>
    <w:rsid w:val="00D7384C"/>
    <w:rsid w:val="00D80C77"/>
    <w:rsid w:val="00D817ED"/>
    <w:rsid w:val="00D835A6"/>
    <w:rsid w:val="00D84750"/>
    <w:rsid w:val="00D84CD1"/>
    <w:rsid w:val="00D85298"/>
    <w:rsid w:val="00D852BD"/>
    <w:rsid w:val="00D901B2"/>
    <w:rsid w:val="00D95206"/>
    <w:rsid w:val="00D967D6"/>
    <w:rsid w:val="00D978B0"/>
    <w:rsid w:val="00D978B1"/>
    <w:rsid w:val="00D97F19"/>
    <w:rsid w:val="00DA093F"/>
    <w:rsid w:val="00DA371B"/>
    <w:rsid w:val="00DA4450"/>
    <w:rsid w:val="00DA4D38"/>
    <w:rsid w:val="00DA7008"/>
    <w:rsid w:val="00DB0536"/>
    <w:rsid w:val="00DB0B47"/>
    <w:rsid w:val="00DB1490"/>
    <w:rsid w:val="00DB153B"/>
    <w:rsid w:val="00DB37B0"/>
    <w:rsid w:val="00DB40FA"/>
    <w:rsid w:val="00DB5148"/>
    <w:rsid w:val="00DB69C5"/>
    <w:rsid w:val="00DC1EEA"/>
    <w:rsid w:val="00DC3538"/>
    <w:rsid w:val="00DC3885"/>
    <w:rsid w:val="00DC6938"/>
    <w:rsid w:val="00DC761A"/>
    <w:rsid w:val="00DD6970"/>
    <w:rsid w:val="00DD71A4"/>
    <w:rsid w:val="00DE0969"/>
    <w:rsid w:val="00DE175D"/>
    <w:rsid w:val="00DE1A4C"/>
    <w:rsid w:val="00DE354C"/>
    <w:rsid w:val="00DE40A2"/>
    <w:rsid w:val="00DF0835"/>
    <w:rsid w:val="00DF0D91"/>
    <w:rsid w:val="00DF267B"/>
    <w:rsid w:val="00DF47AE"/>
    <w:rsid w:val="00DF767C"/>
    <w:rsid w:val="00E02D50"/>
    <w:rsid w:val="00E0598F"/>
    <w:rsid w:val="00E1082E"/>
    <w:rsid w:val="00E11AF4"/>
    <w:rsid w:val="00E13B0F"/>
    <w:rsid w:val="00E13F4E"/>
    <w:rsid w:val="00E21314"/>
    <w:rsid w:val="00E2158D"/>
    <w:rsid w:val="00E23175"/>
    <w:rsid w:val="00E24A27"/>
    <w:rsid w:val="00E2629E"/>
    <w:rsid w:val="00E27DC4"/>
    <w:rsid w:val="00E308AA"/>
    <w:rsid w:val="00E329D5"/>
    <w:rsid w:val="00E32E55"/>
    <w:rsid w:val="00E32EDF"/>
    <w:rsid w:val="00E356F9"/>
    <w:rsid w:val="00E35C25"/>
    <w:rsid w:val="00E36C8C"/>
    <w:rsid w:val="00E44F2B"/>
    <w:rsid w:val="00E45DE0"/>
    <w:rsid w:val="00E511B2"/>
    <w:rsid w:val="00E5295F"/>
    <w:rsid w:val="00E554CE"/>
    <w:rsid w:val="00E60F6A"/>
    <w:rsid w:val="00E62155"/>
    <w:rsid w:val="00E6397F"/>
    <w:rsid w:val="00E66E29"/>
    <w:rsid w:val="00E70911"/>
    <w:rsid w:val="00E74FAD"/>
    <w:rsid w:val="00E75AAE"/>
    <w:rsid w:val="00E77FE7"/>
    <w:rsid w:val="00E80E49"/>
    <w:rsid w:val="00E833C1"/>
    <w:rsid w:val="00E870A2"/>
    <w:rsid w:val="00E90221"/>
    <w:rsid w:val="00E92BDE"/>
    <w:rsid w:val="00E9380B"/>
    <w:rsid w:val="00E94327"/>
    <w:rsid w:val="00E965D9"/>
    <w:rsid w:val="00EA2937"/>
    <w:rsid w:val="00EA52BC"/>
    <w:rsid w:val="00EA5B32"/>
    <w:rsid w:val="00EA7722"/>
    <w:rsid w:val="00EB09A7"/>
    <w:rsid w:val="00EB55BB"/>
    <w:rsid w:val="00EB584E"/>
    <w:rsid w:val="00EB64DD"/>
    <w:rsid w:val="00EB7768"/>
    <w:rsid w:val="00EB77B4"/>
    <w:rsid w:val="00EC1FCA"/>
    <w:rsid w:val="00EC3D66"/>
    <w:rsid w:val="00EC4C4C"/>
    <w:rsid w:val="00EC5AC3"/>
    <w:rsid w:val="00EC701F"/>
    <w:rsid w:val="00EC7343"/>
    <w:rsid w:val="00EC792B"/>
    <w:rsid w:val="00ED2EEE"/>
    <w:rsid w:val="00ED4534"/>
    <w:rsid w:val="00ED4850"/>
    <w:rsid w:val="00ED6EAB"/>
    <w:rsid w:val="00EE0255"/>
    <w:rsid w:val="00EE150D"/>
    <w:rsid w:val="00EE1C5E"/>
    <w:rsid w:val="00EE4732"/>
    <w:rsid w:val="00EE5F1B"/>
    <w:rsid w:val="00EE7004"/>
    <w:rsid w:val="00EE7A32"/>
    <w:rsid w:val="00EF04BD"/>
    <w:rsid w:val="00EF1047"/>
    <w:rsid w:val="00F00573"/>
    <w:rsid w:val="00F00B52"/>
    <w:rsid w:val="00F01140"/>
    <w:rsid w:val="00F01494"/>
    <w:rsid w:val="00F01CA7"/>
    <w:rsid w:val="00F03800"/>
    <w:rsid w:val="00F0414F"/>
    <w:rsid w:val="00F05B6D"/>
    <w:rsid w:val="00F10296"/>
    <w:rsid w:val="00F118A2"/>
    <w:rsid w:val="00F12349"/>
    <w:rsid w:val="00F132DF"/>
    <w:rsid w:val="00F13DFC"/>
    <w:rsid w:val="00F17347"/>
    <w:rsid w:val="00F21609"/>
    <w:rsid w:val="00F2194E"/>
    <w:rsid w:val="00F24F1F"/>
    <w:rsid w:val="00F25936"/>
    <w:rsid w:val="00F27EB4"/>
    <w:rsid w:val="00F30B4A"/>
    <w:rsid w:val="00F31B6D"/>
    <w:rsid w:val="00F3218C"/>
    <w:rsid w:val="00F32AB5"/>
    <w:rsid w:val="00F32EC1"/>
    <w:rsid w:val="00F34B1A"/>
    <w:rsid w:val="00F34D4F"/>
    <w:rsid w:val="00F35CFE"/>
    <w:rsid w:val="00F37497"/>
    <w:rsid w:val="00F378D0"/>
    <w:rsid w:val="00F37B71"/>
    <w:rsid w:val="00F37D12"/>
    <w:rsid w:val="00F40051"/>
    <w:rsid w:val="00F43236"/>
    <w:rsid w:val="00F45B1A"/>
    <w:rsid w:val="00F468BB"/>
    <w:rsid w:val="00F46CE4"/>
    <w:rsid w:val="00F46E16"/>
    <w:rsid w:val="00F47433"/>
    <w:rsid w:val="00F50562"/>
    <w:rsid w:val="00F54388"/>
    <w:rsid w:val="00F55F42"/>
    <w:rsid w:val="00F56302"/>
    <w:rsid w:val="00F5709F"/>
    <w:rsid w:val="00F57DDE"/>
    <w:rsid w:val="00F644C0"/>
    <w:rsid w:val="00F65132"/>
    <w:rsid w:val="00F655CD"/>
    <w:rsid w:val="00F6586A"/>
    <w:rsid w:val="00F7057B"/>
    <w:rsid w:val="00F71B6F"/>
    <w:rsid w:val="00F7477B"/>
    <w:rsid w:val="00F764BB"/>
    <w:rsid w:val="00F828AD"/>
    <w:rsid w:val="00F8404A"/>
    <w:rsid w:val="00F84161"/>
    <w:rsid w:val="00F847A2"/>
    <w:rsid w:val="00F858FD"/>
    <w:rsid w:val="00F85B89"/>
    <w:rsid w:val="00F86670"/>
    <w:rsid w:val="00F87F2E"/>
    <w:rsid w:val="00F9285C"/>
    <w:rsid w:val="00F93A2B"/>
    <w:rsid w:val="00F93F8D"/>
    <w:rsid w:val="00F95A21"/>
    <w:rsid w:val="00FA60C2"/>
    <w:rsid w:val="00FB31ED"/>
    <w:rsid w:val="00FB3F38"/>
    <w:rsid w:val="00FB5B73"/>
    <w:rsid w:val="00FB6B39"/>
    <w:rsid w:val="00FC00D3"/>
    <w:rsid w:val="00FC09FC"/>
    <w:rsid w:val="00FC2799"/>
    <w:rsid w:val="00FC28A2"/>
    <w:rsid w:val="00FC47EE"/>
    <w:rsid w:val="00FC530F"/>
    <w:rsid w:val="00FC7880"/>
    <w:rsid w:val="00FD0AF6"/>
    <w:rsid w:val="00FD3413"/>
    <w:rsid w:val="00FD4427"/>
    <w:rsid w:val="00FD47FD"/>
    <w:rsid w:val="00FD6B7D"/>
    <w:rsid w:val="00FE078E"/>
    <w:rsid w:val="00FE166E"/>
    <w:rsid w:val="00FE17D3"/>
    <w:rsid w:val="00FE2194"/>
    <w:rsid w:val="00FE2DA2"/>
    <w:rsid w:val="00FE2E2E"/>
    <w:rsid w:val="00FE3BFB"/>
    <w:rsid w:val="00FE3BFE"/>
    <w:rsid w:val="00FE4330"/>
    <w:rsid w:val="00FE4F88"/>
    <w:rsid w:val="00FE4FA4"/>
    <w:rsid w:val="00FE62F4"/>
    <w:rsid w:val="00FF3E44"/>
    <w:rsid w:val="00FF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FBF2C"/>
  <w15:chartTrackingRefBased/>
  <w15:docId w15:val="{DFECD45B-0D42-4DED-AB34-E972FABD0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3A2"/>
    <w:pPr>
      <w:tabs>
        <w:tab w:val="center" w:pos="4680"/>
        <w:tab w:val="right" w:pos="9360"/>
      </w:tabs>
    </w:pPr>
  </w:style>
  <w:style w:type="character" w:customStyle="1" w:styleId="HeaderChar">
    <w:name w:val="Header Char"/>
    <w:basedOn w:val="DefaultParagraphFont"/>
    <w:link w:val="Header"/>
    <w:uiPriority w:val="99"/>
    <w:rsid w:val="00A243A2"/>
  </w:style>
  <w:style w:type="paragraph" w:styleId="Footer">
    <w:name w:val="footer"/>
    <w:basedOn w:val="Normal"/>
    <w:link w:val="FooterChar"/>
    <w:uiPriority w:val="99"/>
    <w:unhideWhenUsed/>
    <w:rsid w:val="00A243A2"/>
    <w:pPr>
      <w:tabs>
        <w:tab w:val="center" w:pos="4680"/>
        <w:tab w:val="right" w:pos="9360"/>
      </w:tabs>
    </w:pPr>
  </w:style>
  <w:style w:type="character" w:customStyle="1" w:styleId="FooterChar">
    <w:name w:val="Footer Char"/>
    <w:basedOn w:val="DefaultParagraphFont"/>
    <w:link w:val="Footer"/>
    <w:uiPriority w:val="99"/>
    <w:rsid w:val="00A243A2"/>
  </w:style>
  <w:style w:type="table" w:styleId="TableGrid">
    <w:name w:val="Table Grid"/>
    <w:basedOn w:val="TableNormal"/>
    <w:uiPriority w:val="39"/>
    <w:rsid w:val="00B20EE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21314"/>
    <w:rPr>
      <w:sz w:val="20"/>
      <w:szCs w:val="20"/>
    </w:rPr>
  </w:style>
  <w:style w:type="character" w:customStyle="1" w:styleId="FootnoteTextChar">
    <w:name w:val="Footnote Text Char"/>
    <w:basedOn w:val="DefaultParagraphFont"/>
    <w:link w:val="FootnoteText"/>
    <w:uiPriority w:val="99"/>
    <w:semiHidden/>
    <w:rsid w:val="00E21314"/>
    <w:rPr>
      <w:sz w:val="20"/>
      <w:szCs w:val="20"/>
    </w:rPr>
  </w:style>
  <w:style w:type="character" w:styleId="FootnoteReference">
    <w:name w:val="footnote reference"/>
    <w:basedOn w:val="DefaultParagraphFont"/>
    <w:uiPriority w:val="99"/>
    <w:semiHidden/>
    <w:unhideWhenUsed/>
    <w:rsid w:val="00E21314"/>
    <w:rPr>
      <w:vertAlign w:val="superscript"/>
    </w:rPr>
  </w:style>
  <w:style w:type="paragraph" w:styleId="ListParagraph">
    <w:name w:val="List Paragraph"/>
    <w:basedOn w:val="Normal"/>
    <w:uiPriority w:val="34"/>
    <w:qFormat/>
    <w:rsid w:val="006A45A1"/>
    <w:pPr>
      <w:ind w:left="720"/>
      <w:contextualSpacing/>
    </w:pPr>
  </w:style>
  <w:style w:type="character" w:styleId="Hyperlink">
    <w:name w:val="Hyperlink"/>
    <w:basedOn w:val="DefaultParagraphFont"/>
    <w:uiPriority w:val="99"/>
    <w:unhideWhenUsed/>
    <w:rsid w:val="002D0A3E"/>
    <w:rPr>
      <w:color w:val="0563C1" w:themeColor="hyperlink"/>
      <w:u w:val="single"/>
    </w:rPr>
  </w:style>
  <w:style w:type="character" w:styleId="UnresolvedMention">
    <w:name w:val="Unresolved Mention"/>
    <w:basedOn w:val="DefaultParagraphFont"/>
    <w:uiPriority w:val="99"/>
    <w:semiHidden/>
    <w:unhideWhenUsed/>
    <w:rsid w:val="002D0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570769">
      <w:bodyDiv w:val="1"/>
      <w:marLeft w:val="0"/>
      <w:marRight w:val="0"/>
      <w:marTop w:val="0"/>
      <w:marBottom w:val="0"/>
      <w:divBdr>
        <w:top w:val="none" w:sz="0" w:space="0" w:color="auto"/>
        <w:left w:val="none" w:sz="0" w:space="0" w:color="auto"/>
        <w:bottom w:val="none" w:sz="0" w:space="0" w:color="auto"/>
        <w:right w:val="none" w:sz="0" w:space="0" w:color="auto"/>
      </w:divBdr>
    </w:div>
    <w:div w:id="1728914277">
      <w:bodyDiv w:val="1"/>
      <w:marLeft w:val="0"/>
      <w:marRight w:val="0"/>
      <w:marTop w:val="0"/>
      <w:marBottom w:val="0"/>
      <w:divBdr>
        <w:top w:val="none" w:sz="0" w:space="0" w:color="auto"/>
        <w:left w:val="none" w:sz="0" w:space="0" w:color="auto"/>
        <w:bottom w:val="none" w:sz="0" w:space="0" w:color="auto"/>
        <w:right w:val="none" w:sz="0" w:space="0" w:color="auto"/>
      </w:divBdr>
    </w:div>
    <w:div w:id="209577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7.png"/><Relationship Id="rId39" Type="http://schemas.openxmlformats.org/officeDocument/2006/relationships/fontTable" Target="fontTable.xml"/><Relationship Id="rId21" Type="http://schemas.openxmlformats.org/officeDocument/2006/relationships/image" Target="cid:image005.png@01DA7AB3.030058E0" TargetMode="External"/><Relationship Id="rId34" Type="http://schemas.openxmlformats.org/officeDocument/2006/relationships/image" Target="media/image25.png"/><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cid:image001.png@01DA7AB3.030058E0" TargetMode="External"/><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2.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mailto:Gallo.Frank@DOL.gov"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4.png"/><Relationship Id="rId19" Type="http://schemas.openxmlformats.org/officeDocument/2006/relationships/image" Target="cid:image004.png@01DA7AB3.030058E0" TargetMode="External"/><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image" Target="media/image13.emf"/><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8" Type="http://schemas.openxmlformats.org/officeDocument/2006/relationships/image" Target="media/image2.png"/><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fraser.stlouisfed.org/files/docs/publications/women/sb020_dolwb_194406.pdf" TargetMode="External"/><Relationship Id="rId1" Type="http://schemas.openxmlformats.org/officeDocument/2006/relationships/hyperlink" Target="http://www.nber.org/system/files/working_papers/w9013/w90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10364</TotalTime>
  <Pages>32</Pages>
  <Words>9938</Words>
  <Characters>56649</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Gallo, Frank - ETA</dc:creator>
  <cp:keywords/>
  <dc:description/>
  <cp:lastModifiedBy>Gallo, Frank - ETA</cp:lastModifiedBy>
  <cp:revision>1344</cp:revision>
  <dcterms:created xsi:type="dcterms:W3CDTF">2024-03-11T11:43:00Z</dcterms:created>
  <dcterms:modified xsi:type="dcterms:W3CDTF">2024-04-25T15:08:00Z</dcterms:modified>
</cp:coreProperties>
</file>