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867B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7EAF572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introduce today's moderator for the Co-enrollment Across WIOA Core Programs: Requirements, Promising Practices, and Resources Webinar. Cesar is a workforce analyst with the US Department of Labor. Please welcome Cesar.</w:t>
      </w:r>
    </w:p>
    <w:p w14:paraId="27B0640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34FAB5D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Hello everyone and good afternoon and thanks, Alina, for that introduction and for the technical updates. So welcome to today's joint co-enrollment webinar. Before we get started, we'd like to put out a poll, a short poll about how your co-enrollment data is. So please let us know how you feel about the data collection and reporting of co-enrollment data in your state. It's an anonymous poll and we won't hold anyone to it. But right now what is your general feeling about whether the co-enrollment information in your state is reporting a good reflection of the reality on the ground? So is it a very accurate picture, a pretty accurate picture, or maybe there's some room for improvement? So select the best response for your state in the poll and let us know.</w:t>
      </w:r>
    </w:p>
    <w:p w14:paraId="111FBE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while you take a moment to select whether your data is very accurate, pretty accurate, or has some room for improvement, again we want to welcome you to today's webinar. So why don't we close the poll and see the results? So thank you all for participating in that poll. It seems like most say there's some room for improvement, so that's great. We hope that today's webinar is insightful for you all. So welcome again everyone to the Joint Co-enrollment webinar. Today's focus is on data collection and performance of co-enrollment data across WIOA core programs.</w:t>
      </w:r>
    </w:p>
    <w:p w14:paraId="09CE69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in this event, presenters from the Department of Labor and Education will share background and data about co-enrollment and we'll hear from some state partners in Alaska, Wisconsin, and Wyoming about some of their successful strategies in data collection and reporting of co-enrollment information. So, our presenters include Christina </w:t>
      </w:r>
      <w:proofErr w:type="spellStart"/>
      <w:r>
        <w:rPr>
          <w:rFonts w:ascii="Calibri" w:eastAsia="Calibri" w:hAnsi="Calibri" w:cs="Calibri"/>
          <w:color w:val="000000"/>
          <w:sz w:val="22"/>
        </w:rPr>
        <w:t>Eckenroth</w:t>
      </w:r>
      <w:proofErr w:type="spellEnd"/>
      <w:r>
        <w:rPr>
          <w:rFonts w:ascii="Calibri" w:eastAsia="Calibri" w:hAnsi="Calibri" w:cs="Calibri"/>
          <w:color w:val="000000"/>
          <w:sz w:val="22"/>
        </w:rPr>
        <w:t xml:space="preserve">, Evan Rosenberg, and Dana </w:t>
      </w:r>
      <w:proofErr w:type="spellStart"/>
      <w:r>
        <w:rPr>
          <w:rFonts w:ascii="Calibri" w:eastAsia="Calibri" w:hAnsi="Calibri" w:cs="Calibri"/>
          <w:color w:val="000000"/>
          <w:sz w:val="22"/>
        </w:rPr>
        <w:t>Westgren</w:t>
      </w:r>
      <w:proofErr w:type="spellEnd"/>
      <w:r>
        <w:rPr>
          <w:rFonts w:ascii="Calibri" w:eastAsia="Calibri" w:hAnsi="Calibri" w:cs="Calibri"/>
          <w:color w:val="000000"/>
          <w:sz w:val="22"/>
        </w:rPr>
        <w:t xml:space="preserve">, all workforce analysts with the Employment and Training Administration at the Department of Labor. We also have our Department of Education colleagues Michael Quinn, representing the Rehabilitation Services Administration, and </w:t>
      </w: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 xml:space="preserve"> Campbell with the Office of Career Technical and Adult Education.</w:t>
      </w:r>
    </w:p>
    <w:p w14:paraId="4EB73D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 welcome our state presenters from Alaska, Kim </w:t>
      </w:r>
      <w:proofErr w:type="spellStart"/>
      <w:r>
        <w:rPr>
          <w:rFonts w:ascii="Calibri" w:eastAsia="Calibri" w:hAnsi="Calibri" w:cs="Calibri"/>
          <w:color w:val="000000"/>
          <w:sz w:val="22"/>
        </w:rPr>
        <w:t>Kolvig</w:t>
      </w:r>
      <w:proofErr w:type="spellEnd"/>
      <w:r>
        <w:rPr>
          <w:rFonts w:ascii="Calibri" w:eastAsia="Calibri" w:hAnsi="Calibri" w:cs="Calibri"/>
          <w:color w:val="000000"/>
          <w:sz w:val="22"/>
        </w:rPr>
        <w:t xml:space="preserve"> an Employment Security Analyst and program coordinator with Alaska WIOA Title I and 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 Alaska Adult Education and GED State Director with Alaska Adult Education. From Wisconsin, we have Deanna Krell, Director of Management Services, and Andrew Eastman, Section Chief of Special Services at the Wisconsin Department of Workforce Development. And last but certainly not least, we welcome Christina West, Employment and Training Deputy Administrator for the Wyoming Department of Workforce Services, and Diane McQueen, State Director for Adult Education at the Wyoming Community College Commission.</w:t>
      </w:r>
    </w:p>
    <w:p w14:paraId="66C5D6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thanks to all of our presenters for taking the time to join us today. So we want to welcome everyone to this discussion on co-enrollment data collection and reporting across the workforce Innovation and Opportunity Act core programs. In today's session, presenters from the Department of Labor and Department of Education will get us all on the same page with the background information to remind us of the performance accountability requirements, share what the data shows and discuss highlights and promising practices from states and address your questions towards the end.</w:t>
      </w:r>
    </w:p>
    <w:p w14:paraId="4ECEAF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during today's event, please consider a couple of questions. Does your core program collect and report co-enrollment data? How is that information used, and could your collection and reporting be better? So your task for today is to identify one or two pieces of information that will help you to improve your data collection and reporting of co-enrollment across WIOA core programs. But even if it's </w:t>
      </w:r>
      <w:r>
        <w:rPr>
          <w:rFonts w:ascii="Calibri" w:eastAsia="Calibri" w:hAnsi="Calibri" w:cs="Calibri"/>
          <w:color w:val="000000"/>
          <w:sz w:val="22"/>
        </w:rPr>
        <w:lastRenderedPageBreak/>
        <w:t xml:space="preserve">just that you're learning about the requirements now, that is okay. So Christina </w:t>
      </w:r>
      <w:proofErr w:type="spellStart"/>
      <w:r>
        <w:rPr>
          <w:rFonts w:ascii="Calibri" w:eastAsia="Calibri" w:hAnsi="Calibri" w:cs="Calibri"/>
          <w:color w:val="000000"/>
          <w:sz w:val="22"/>
        </w:rPr>
        <w:t>Eckenroth</w:t>
      </w:r>
      <w:proofErr w:type="spellEnd"/>
      <w:r>
        <w:rPr>
          <w:rFonts w:ascii="Calibri" w:eastAsia="Calibri" w:hAnsi="Calibri" w:cs="Calibri"/>
          <w:color w:val="000000"/>
          <w:sz w:val="22"/>
        </w:rPr>
        <w:t xml:space="preserve"> will get us started with a brief background refresher so that we're all on the same page, Christina.</w:t>
      </w:r>
    </w:p>
    <w:p w14:paraId="6A315A5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Christina </w:t>
      </w:r>
      <w:proofErr w:type="spellStart"/>
      <w:r>
        <w:rPr>
          <w:rFonts w:ascii="Calibri" w:eastAsia="Calibri" w:hAnsi="Calibri" w:cs="Calibri"/>
          <w:color w:val="000000"/>
          <w:sz w:val="22"/>
        </w:rPr>
        <w:t>Eckenroth</w:t>
      </w:r>
      <w:proofErr w:type="spellEnd"/>
      <w:r>
        <w:rPr>
          <w:rFonts w:ascii="Calibri" w:eastAsia="Calibri" w:hAnsi="Calibri" w:cs="Calibri"/>
          <w:color w:val="000000"/>
          <w:sz w:val="22"/>
        </w:rPr>
        <w:t>:</w:t>
      </w:r>
    </w:p>
    <w:p w14:paraId="026466B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Cesar, and welcome everyone. So, let's get started with a very quick refresher. So as you know today we are talking about data collection and reporting of co-enrollment of participants across core programs in WIOA, which means programs covered by Title I, Adult Dislocated Worker and Youth; Title II, Adult Education, and Family Literacy Act Programs;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Employment Service, and Title IV Vocational Rehabilitation Services. So, of course, participants can be co-enrolled in a number of different variations between the Title I programs, Title III programs, maybe DOL-only programs is what you're familiar with. But what makes this conversation unique is that for core programs, WIOA requires states to report the number of participants who are enrolled in more than one core program, Title I, Title II, Title III, and Title IV in their annual performance reports.</w:t>
      </w:r>
    </w:p>
    <w:p w14:paraId="60C57E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why? Why do we want to know about co-enrollment among core programs? Well, service integration is a key tenant of WIOA, and the goal is to align and coordinate service delivery to enhance customer service design and lead to good outcomes. So the concept of co-enrollment is more service delivery and customer care case management focused, having a system that is able to refer customers to various appropriate programs to address their needs and result in employment. But data collection and reporting is a vital pieces of that puzzle because beyond being required, the data helps leaders throughout the system make informed policy and service strategy decisions to ensure that those participants are receiving services that lead to the best outcomes.</w:t>
      </w:r>
    </w:p>
    <w:p w14:paraId="13A1560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to make those decisions you need to have a good understanding of who is being served and by which programs. Reporting and co-enrollment across core programs is required and beneficial, next slide please, and beneficial. But states can encounter a variety of challenges when collecting and reporting this information. So as the government accountability office recently noted in the linked report here, we have a lot of unknowns in our data as a system. Now we plan to take some action on our end to help clarify whether our participant status is truly unknown as well as events like this to share strategies states are using to overcome some of those common issues in data collection and reporting of co-enrollment.</w:t>
      </w:r>
    </w:p>
    <w:p w14:paraId="2F6D542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good news is that most states and programs are reporting some co-enrollment across core WIOA programs. Although GAO found, and as our data analysis shows, there is definitely room for improvement. We still have a lot of missing data or unknown status among programs and in others, the percentages are really low. Now, low percentages might be accurate. We all know co-enrollment is not really appropriate for all participants, but our objective is to ensure that states are reporting complete and accurate data to inform our future policy decisions. And right now it can be a little difficult to make informed decisions regarding expected levels of co-enrollment across programs based on the current data we have, which is not particularly clear always as to whether co-enrollment is not occurring or is truly not known.</w:t>
      </w:r>
    </w:p>
    <w:p w14:paraId="10425C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where is this required? The statute, WIOA Section 116 under contents of state performance reports lays out the requirement and the WIOA regulations at 20 CFR 677.160 provide more detail about what is required in the state performance reports including co-enrollment and then the information collection requests provide the data collection specifics for each program. The next slide, so you may be familiar with the elements that all core programs collect. So, we share common definitions. How do you record if a participant was in more than one program? Well, this is an example, joint participant individual record layout ETA-9170. These are element numbers and so each program has an element number 903 which means you were an adult, 904 means you were in dislocated worker, et cetera, et cetera.</w:t>
      </w:r>
    </w:p>
    <w:p w14:paraId="5CE9F9A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So these items in the PIRL have corresponding data elements within the RSA 911 for example, which is used by our Title IV programs. So, this is where the numbers we're referencing come from. Was a participant served by this program? Yes, no, or unknown. So now that you know what we are collecting, why we want to know, and where the numbers come from, in the next section we'll show you what we currently see in our data analysis and Dana </w:t>
      </w:r>
      <w:proofErr w:type="spellStart"/>
      <w:r>
        <w:rPr>
          <w:rFonts w:ascii="Calibri" w:eastAsia="Calibri" w:hAnsi="Calibri" w:cs="Calibri"/>
          <w:color w:val="000000"/>
          <w:sz w:val="22"/>
        </w:rPr>
        <w:t>Westgren</w:t>
      </w:r>
      <w:proofErr w:type="spellEnd"/>
      <w:r>
        <w:rPr>
          <w:rFonts w:ascii="Calibri" w:eastAsia="Calibri" w:hAnsi="Calibri" w:cs="Calibri"/>
          <w:color w:val="000000"/>
          <w:sz w:val="22"/>
        </w:rPr>
        <w:t xml:space="preserve"> will start with a review of the Department of Labor data analysis, Dana.</w:t>
      </w:r>
    </w:p>
    <w:p w14:paraId="171BDE0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Dana </w:t>
      </w:r>
      <w:proofErr w:type="spellStart"/>
      <w:r>
        <w:rPr>
          <w:rFonts w:ascii="Calibri" w:eastAsia="Calibri" w:hAnsi="Calibri" w:cs="Calibri"/>
          <w:color w:val="000000"/>
          <w:sz w:val="22"/>
        </w:rPr>
        <w:t>Westgren</w:t>
      </w:r>
      <w:proofErr w:type="spellEnd"/>
      <w:r>
        <w:rPr>
          <w:rFonts w:ascii="Calibri" w:eastAsia="Calibri" w:hAnsi="Calibri" w:cs="Calibri"/>
          <w:color w:val="000000"/>
          <w:sz w:val="22"/>
        </w:rPr>
        <w:t>:</w:t>
      </w:r>
    </w:p>
    <w:p w14:paraId="2321824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[inaudible 00:10:04] I was just going to say thank you so much, Christina. I'm actually going to have my colleague Evan jump in first to talk about the overarching data and then I'll jump in on adult and dislocated workers. Go ahead, Evan.</w:t>
      </w:r>
    </w:p>
    <w:p w14:paraId="578F4EB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Evan Rosenberg:</w:t>
      </w:r>
    </w:p>
    <w:p w14:paraId="2FCC489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Dana. All right. So this first slide that we see shows the adult dislocated worker and youth programs and what their percentage of co-enrollment is across Title II Adult Education,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and Title IV Vocational Rehabilitation. And it also shows the percent unknown for co-enrollment between adult and Titles II, III, and IV, Dislocated Worker II, III, and IV, and Youth Titles II, III, and IV. And so unfortunately I would say these are not the numbers we would expect to see for co-enrollment. And the issue could be multifactorial, it could relate to reporting and just not having the capability to report the co-enrollment or not knowing whether they're co-enrolled. And I'll talk a little bit about the high numbers of unknowns we see, or it could be programmatic where maybe the partnerships and connections between the programs just aren't what they could be, and that could contribute to it as well.</w:t>
      </w:r>
    </w:p>
    <w:p w14:paraId="4B093E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until we make sure that the reporting of co-enrollment is accurate and reflective of all the co-enrollment that's going on, we can't look at the data to determine to what extent the issue might be programmatic. So I'm going to talk specifically about the youth numbers we see here and then turn to Dana to talk about adult and dislocated workers, since I work on the youth program and Dana works on adult and dislocated worker. And I'll start with youth co-enrolled with adult education.</w:t>
      </w:r>
    </w:p>
    <w:p w14:paraId="3CA1C5E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as most of you probably know, there's an out-of-school expenditure minimum requirement for youth where you have to spend a minimum of 75% of funds on out-of-school youth. And a lot of our out-of-school youth are high school dropouts without a high school diploma or equivalency. And so those out-of-school youth we would expect to be receiving adult education and high school equivalency services, which are the services provided by our Title II partners at Adult Education. So we would probably expect to see a much higher percentage than 2.7% of our participants co-enrolled in Title II. So that looks pretty low to us. The Wagner, you can go back to that slide I was on. Thanks.</w:t>
      </w:r>
    </w:p>
    <w:p w14:paraId="25319B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co-enrollment, we see is a little bit better about a third of youth and that's probably where we would expect it, but those are Department of Labor programs and so co-enrollment might be a little bit easier there. And then getting to Title IV, vocational rehabilitation, which is serving in-school youth, even though we don't serve quite as many in-school youth as out-of-school youth, given that youth with disabilities are one of our target populations and we see a decent number of youth reported as having disabilities in our program, we probably expect to see more than eight-tenths of 1% co-enrolled there.</w:t>
      </w:r>
    </w:p>
    <w:p w14:paraId="7B2208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I think a concerning number for youth, as well as adult, is the percent unknown where you can see more than two-thirds of youth are reported is unknown for that co-enrollment with vocational rehabilitation. So I think part of it is trying to figure out why you're reporting unknowns and hopefully moving the unknowns to yeses or </w:t>
      </w:r>
      <w:proofErr w:type="spellStart"/>
      <w:r>
        <w:rPr>
          <w:rFonts w:ascii="Calibri" w:eastAsia="Calibri" w:hAnsi="Calibri" w:cs="Calibri"/>
          <w:color w:val="000000"/>
          <w:sz w:val="22"/>
        </w:rPr>
        <w:t>nos</w:t>
      </w:r>
      <w:proofErr w:type="spellEnd"/>
      <w:r>
        <w:rPr>
          <w:rFonts w:ascii="Calibri" w:eastAsia="Calibri" w:hAnsi="Calibri" w:cs="Calibri"/>
          <w:color w:val="000000"/>
          <w:sz w:val="22"/>
        </w:rPr>
        <w:t xml:space="preserve"> and then hopefully a lot of those unknowns, maybe they're yeses, </w:t>
      </w:r>
      <w:r>
        <w:rPr>
          <w:rFonts w:ascii="Calibri" w:eastAsia="Calibri" w:hAnsi="Calibri" w:cs="Calibri"/>
          <w:color w:val="000000"/>
          <w:sz w:val="22"/>
        </w:rPr>
        <w:lastRenderedPageBreak/>
        <w:t>and then if they're not then investigating on the programmatic side to determine if co-enrollment is happening to the extent we would expect or want it to be. So I'm going to turn it to Dana and before you go on to the next slide, Dana, do you want to add any insights on adult and dislocated worker on this slide?</w:t>
      </w:r>
    </w:p>
    <w:p w14:paraId="63BEBED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Dana </w:t>
      </w:r>
      <w:proofErr w:type="spellStart"/>
      <w:r>
        <w:rPr>
          <w:rFonts w:ascii="Calibri" w:eastAsia="Calibri" w:hAnsi="Calibri" w:cs="Calibri"/>
          <w:color w:val="000000"/>
          <w:sz w:val="22"/>
        </w:rPr>
        <w:t>Westgren</w:t>
      </w:r>
      <w:proofErr w:type="spellEnd"/>
      <w:r>
        <w:rPr>
          <w:rFonts w:ascii="Calibri" w:eastAsia="Calibri" w:hAnsi="Calibri" w:cs="Calibri"/>
          <w:color w:val="000000"/>
          <w:sz w:val="22"/>
        </w:rPr>
        <w:t>:</w:t>
      </w:r>
    </w:p>
    <w:p w14:paraId="27AB8F6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thanks, Evan. Absolutely. And sorry about the confusion with the slides earlier. Now we should expect to see, as you said, some higher co-enrollment numbers for both adult and dislocated worker formula programs for a few different reasons. Not in the least the partner requirements in WIOA and I'm going to walk through some of those reasons in the following data slides. But the good news here, as you'll see with the data upcoming is nobody here who is struggling with co-enrollment reporting is alone. And we do have some states of course at the end who are going to share more information about how to get some of these numbers up.</w:t>
      </w:r>
    </w:p>
    <w:p w14:paraId="7BAA1C3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if we could jump to the next slide, please? The next slide shows the breakdown of co-enrollment between the WIOA adult formula program and the Title II AEFLA program, as well as the co-enrollment between the WIOA adult and Title IV Vocational Rehabilitation Programs. So what you can see here is the data highlighting the highest rates of co-enrollment that we see in the states. Now we do not have the state names listed here because we really want to focus on the raw numbers and the data, but we are happy to share those later on if folks are interested after the webinar. So as you can see here, the highest rate of co-enrollment we saw in program year 2021 on the adult Title I side with AEFLA was 9.9%, then 7.2, 5.1, 4.4, and 3.3%.</w:t>
      </w:r>
    </w:p>
    <w:p w14:paraId="48095F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see that these numbers are well above the median of 0.6% during that time and the mean of 0.9%. And note that 14 states reported an average of 0% co-enrollment, which is actually pretty low in comparison to some of the other co-enrollment numbers we've seen in the data. As Evan mentioned, notably some states had exceptionally high unknown co-enrollment numbers, which is people choosing unknown on the PIRL for adult and AEFLA. So for instance, one state had 3% co-enrollment and 97% unknown, and 13 states had an average of more than 90% unknown co-enrollment. So we expect that those unknown numbers could go down a bit if we enhance some of the partnerships that we will discuss later on in the presentation and some of our other best practices that we'll be highlighting.</w:t>
      </w:r>
    </w:p>
    <w:p w14:paraId="2A91F1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chart on the right indicates a similar story for adult and vocational rehabilitation program co-enrollment. This table shows the highest rates reported in PY 2021, which are slightly lower than the adult AEFLA co-enrollment with the state reporting the highest number at 8.2%. Now 20 states reported 0% co-enrollment, which is higher obviously than we saw for the adults with a median rate of just 0.2% and an average or mean rate of 0.4%. And 42 states, 42 states indicated they have an average of more than 90% unknown co-enrollment. As a quick reminder, adult programs are subject to adult priority of service requirements as outlined in [inaudible 00:17:30] 720. The priority populations for the adult WIOA programs are basic skills deficient, which may include many folks in the AEFLA program, low-income, and individuals receiving public assistance. Many of these folk can and should be co-enrolled with other core programs.</w:t>
      </w:r>
    </w:p>
    <w:p w14:paraId="3BFC46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now we're going to jump into a similar data poll for the Title I Dislocated Worker Program, which is shown here. Now we did anticipate some of these co-enrollment rates would be a bit lower than we saw for adult because the dislocated worker program serves a slightly different population than the adult program and some of them are highly specialized individuals. Still, it's important to note these numbers and think about ways to enhance this reporting for dislocated worker. So co-enrollment for DW program participants and AEFLA had a median rate of 0.4% in PY 2021 and a mean rate also of 0.4% </w:t>
      </w:r>
      <w:r>
        <w:rPr>
          <w:rFonts w:ascii="Calibri" w:eastAsia="Calibri" w:hAnsi="Calibri" w:cs="Calibri"/>
          <w:color w:val="000000"/>
          <w:sz w:val="22"/>
        </w:rPr>
        <w:lastRenderedPageBreak/>
        <w:t>with 22 states reporting 0% co-enrollment. 13 states, so about the same as we saw for the adult and AEFLA co-enrollment 13 states reported more than 90% unknown during this time.</w:t>
      </w:r>
    </w:p>
    <w:p w14:paraId="583612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 states as you see here, reporting the highest rates were about 4% without much variation in those top five. Rates were slightly more widely distributed for the dislocated worker vocational rehabilitation co-enrollment during that same time, as you can see here. The highest rate reported by a state is 10% then six and then the third-highest rate drops to 2.8%. This variation is reflected in the mean rate of 0.2%, which is the same as the median rate for that time. Again, just like with the DW and AEFLA, 22 states reported 0% co-enrollment and 44 states reported an average of more than 90% unknown during this time.</w:t>
      </w:r>
    </w:p>
    <w:p w14:paraId="2D6CB5A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really have seen a lot of unknown reporting in partnerships with vocational rehabilitation with 44 states here in dislocated worker. So now I'm going to pass back to Evan Rosenberg who's going to discuss the same findings for the youth program before we jump to some of our other core program partners. Thank you.</w:t>
      </w:r>
    </w:p>
    <w:p w14:paraId="3E81EFB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Evan Rosenberg:</w:t>
      </w:r>
    </w:p>
    <w:p w14:paraId="19D6C2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Dana. So similar analysis for the youth program and for youth and adult education co-enrollment, you'll see that we do have a number of states that are reporting a lot of co-enrollment and more around the numbers I would expect were co-enrollment between WIOA youth and Title II. So we have a couple of states in the 30s, a couple in the 20s, and one at almost 20% at 18.3. Whereas the median rate is only a half a percent, meaning that half the states are below a half a percent with 17 states reporting no co-enrollment at all. And the numbers on the bottom half if you saw a list of the rates by state of co-enrollment between youth and Title II are a bit troubling in that I would always expect to see some co-enrollment between Title I Youth and Title II Adult Education because we're, as I talked about before, we're serving a largely out-of-school youth population, many of which are high school dropouts and are going to need to work on their high school equivalency and that's what the Title II program is there for.</w:t>
      </w:r>
    </w:p>
    <w:p w14:paraId="5EFF2B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if you're one of those states reporting zero, that's indicative of an issue, whether it's a reporting issue or a programmatic issue, and I'd really encourage you to take a close look at your co-enrollment data and figure out whether it's a reporting issue or a programmatic issue or both because while the median of 0.5 and the mean of 2.7% are much lower than we would expect, there are definitely some states, some of which you'll hear from later today, who are doing a great job with co-enrolling and reporting youth Title II. And I'd say the same thing for youth and vocational rehabilitation where we see states that are well above both the median and mean rate.</w:t>
      </w:r>
    </w:p>
    <w:p w14:paraId="7E4006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17 states for youth and vocational rehabilitation that are reporting no co-enrollment. And while I wouldn't necessarily expect the rates of co-enrollment between youth and vocational rehabilitation to be quite as high as youth and adult education since out-of-school youth is the priority focus for our WIOA Youth Program and vocational rehabilitation or in-school youth. So it's okay that we would see lower numbers for this type of co-enrollment, but I would still expect to see them higher than what we're seeing for the mean and median rate and certainly higher than zero.</w:t>
      </w:r>
    </w:p>
    <w:p w14:paraId="7952C5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again, if you're one of those states reporting numbers lower than you would expect, please take a closer look at that data and hopefully determine whether it's a reporting, programmatic issue, or both. So with that, I'm going to turn to </w:t>
      </w: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 xml:space="preserve"> from the Title II Adult Education Program and she'll talk a little bit more about Title II, </w:t>
      </w: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w:t>
      </w:r>
    </w:p>
    <w:p w14:paraId="775ECCC1"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 xml:space="preserve"> Campbell:</w:t>
      </w:r>
    </w:p>
    <w:p w14:paraId="0AE1EF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Thanks, Evan. For the Title II Adult Education and Family Literacy Act Program, you'll notice that the data here is presented differently from the other core programs. For the AEFLA program states collect individual participant data at the state level, however, the data is reported as aggregate data at the federal level. The table here reflects the highest co-enrollment rates with other WIOA core programs that have been reported by states for program year 2021. As you'll see, the highest rates reported across 10 states ranged from 8.7% to 30.3%. The co-enrollment rate across all states reporting co-enrollment with other WIOA core programs in program year 2021 is 5.63%. So following the program year 2021 data submission, the Office of Career Technical and Adult Education conducted targeted technical assistance sessions with 14 states that reported zero co-enrollment for Title II on the statewide performance reports.</w:t>
      </w:r>
    </w:p>
    <w:p w14:paraId="18A008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technical assistance focused on determining whether the data reported were correct or if the state did not track the information. OCTAE discussed each state's challenges and solutions for collecting co-enrollment data as well as discussed when accurate co-enrollment data would be reported. Since these technical assistance sessions took place, four states were able to update their most recent statewide performance report to include co-enrollment data for program year 2021 and the remaining 10 states made commitments to report co-enrollment data for program year 2022. OCTAE continues to encourage co-enrollment with other WIOA programs through various technical assistance activities and I'll now turn it back over to Dana to discuss 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program. Thank you.</w:t>
      </w:r>
    </w:p>
    <w:p w14:paraId="4E77C61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Dana </w:t>
      </w:r>
      <w:proofErr w:type="spellStart"/>
      <w:r>
        <w:rPr>
          <w:rFonts w:ascii="Calibri" w:eastAsia="Calibri" w:hAnsi="Calibri" w:cs="Calibri"/>
          <w:color w:val="000000"/>
          <w:sz w:val="22"/>
        </w:rPr>
        <w:t>Westgren</w:t>
      </w:r>
      <w:proofErr w:type="spellEnd"/>
      <w:r>
        <w:rPr>
          <w:rFonts w:ascii="Calibri" w:eastAsia="Calibri" w:hAnsi="Calibri" w:cs="Calibri"/>
          <w:color w:val="000000"/>
          <w:sz w:val="22"/>
        </w:rPr>
        <w:t>:</w:t>
      </w:r>
    </w:p>
    <w:p w14:paraId="63F6D2F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w:t>
      </w: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 Appreciate it. So here at ETA, we completed a similar analysis of co-enrollment for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participants. Now Wagner-</w:t>
      </w:r>
      <w:proofErr w:type="spellStart"/>
      <w:r>
        <w:rPr>
          <w:rFonts w:ascii="Calibri" w:eastAsia="Calibri" w:hAnsi="Calibri" w:cs="Calibri"/>
          <w:color w:val="000000"/>
          <w:sz w:val="22"/>
        </w:rPr>
        <w:t>Peyser's</w:t>
      </w:r>
      <w:proofErr w:type="spellEnd"/>
      <w:r>
        <w:rPr>
          <w:rFonts w:ascii="Calibri" w:eastAsia="Calibri" w:hAnsi="Calibri" w:cs="Calibri"/>
          <w:color w:val="000000"/>
          <w:sz w:val="22"/>
        </w:rPr>
        <w:t xml:space="preserve"> obviously a little bit different. Participants in 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program receive higher-touch career services and this program does not provide any training. Because of this, our program participants that need more in-depth career or training services will enroll with the adult dislocated worker or youth programs depending on their eligibility. So because this is a lower touch program, we do expect to see lower reported co-enrollment numbers with some of the other core programs outside of Title I, as is highlighted here.</w:t>
      </w:r>
    </w:p>
    <w:p w14:paraId="0F07540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Further, 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program serves over 2 million participants annually, so we do expect to see a smaller percentage of that larger number co-enrolled with Title II and Title IV programs than we see in Adult DW or youth programs. However, please note, and we saw this back at the slide that Evan presented upfront in the data section that co-enrollment with adult and dislocated worker remains high for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especially since many states have automatic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co-enrollment for adult or dislocated worker programs. So this slide here does show the average co-enrollment of 0.5% between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AEFLA, which is Title II. I saw a lot of questions about that in the Q&amp;A or Title II Adult Education and 0.3% between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Vocational Rehabilitation.</w:t>
      </w:r>
    </w:p>
    <w:p w14:paraId="27302A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unknowns here are pretty consistent with the other Title I programs as well with 54.8% unknowns on average for AEFLA co-enrollment and 63% for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co-enrollment. So now we'll jump into a little more detail in the states. So here you can see the highest reported rates for 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AEFLA co-enrollment on the left and with </w:t>
      </w:r>
      <w:proofErr w:type="spellStart"/>
      <w:r>
        <w:rPr>
          <w:rFonts w:ascii="Calibri" w:eastAsia="Calibri" w:hAnsi="Calibri" w:cs="Calibri"/>
          <w:color w:val="000000"/>
          <w:sz w:val="22"/>
        </w:rPr>
        <w:t>voc</w:t>
      </w:r>
      <w:proofErr w:type="spellEnd"/>
      <w:r>
        <w:rPr>
          <w:rFonts w:ascii="Calibri" w:eastAsia="Calibri" w:hAnsi="Calibri" w:cs="Calibri"/>
          <w:color w:val="000000"/>
          <w:sz w:val="22"/>
        </w:rPr>
        <w:t>-rehab on the right. And as you can see, the rates across both are pretty similar with 4.1% as the highest co-enrollment rate reported for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AEFLA followed by 3.2, 2.8 and 1.6, and 1.4. 25 states reported an average of 0% co-enrollment and that overall median rate was at 0.1% the average in program year 2021 and all the data that we pulled for Title I and Title III was program year 2021, is 0.5% and 26 states reported an average percentage of unknown for over 90% for this program.</w:t>
      </w:r>
    </w:p>
    <w:p w14:paraId="7DE6B7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26 states reported over 90% unknown for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AEFLA co-enrollment,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and vocational rehabilitation had similar rates. However, please note that only 10 states reported an </w:t>
      </w:r>
      <w:r>
        <w:rPr>
          <w:rFonts w:ascii="Calibri" w:eastAsia="Calibri" w:hAnsi="Calibri" w:cs="Calibri"/>
          <w:color w:val="000000"/>
          <w:sz w:val="22"/>
        </w:rPr>
        <w:lastRenderedPageBreak/>
        <w:t>average of 0% co-enrollment for these programs, which is by far the lowest that we saw for Title I or Title III. However, 44 states reported an average of 90% or more unknown co-enrollment between these programs. So speaking of vocational rehabilitation, I'm now going to turn over to Michael Quinn from the Department of Education to review the analysis they did on the VR program. Take it away, Michael.</w:t>
      </w:r>
    </w:p>
    <w:p w14:paraId="170DA50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Michael Quinn:</w:t>
      </w:r>
    </w:p>
    <w:p w14:paraId="018168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Dana. I'm going to try to keep this very brief so we can leave time for the states to talk. I think that's some of the most important information we have. But essentially at the state level, I'm sorry, at the national level for VR co-enrollment, what we saw was in program year 2021, a national co-enrollment rate of 9.3%. This slide, if you take some time with it later on, will show the national percentage in each of the core programs. The highest that we saw was with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We give you the state range from, for example, with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from zero to a high of there was a state that reported 43% co-enrollment. So you can see that with each of the co-enrollment statuses with each of the programs and the number of states that reported zero co-enrollment in each of these core programs. We'll go to the next slide.</w:t>
      </w:r>
    </w:p>
    <w:p w14:paraId="5C8AE22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here we wanted to highlight that what we're seeing is some discrepancy between what states are reporting at the case level through the RSA 911 and what they're reporting on their annual report, the ETA 9169. That discrepancy is improving somewhat over time. So if you look at 2021, there was the smallest discrepancy yet between what was reported in the aggregate on the national report and what was reported at the case level through the quarterly 911. Let's go to the next slide. So where are states getting this information? What we want to emphasize here is that whether you're getting it through a data sharing agreement or you're getting it through self-report or a combination of both, the essence is that we get the information and that we get it accurately.</w:t>
      </w:r>
    </w:p>
    <w:p w14:paraId="5712FB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you're having difficulties, it's a problem to work through and we at RSA will be happy to help you to do that. As far as the discrepancy that we see between the 911 and the 9169, we've recently updated our specifications. What we didn't have before was a specification that would give you the specific RSA 911 data elements that you could use in your calculation at the aggregate level for your annual report. And we've updated that and there's a link here. Lastly, we understand that VR program participants sometimes have most significant disabilities that might preclude their involvement in other workforce programs. We're not necessarily looking for high co-enrollment, but what we are looking for is plausible co-enrollment. What we are looking for is increased accuracy and we want to help you to reach that goal. That's it for me.</w:t>
      </w:r>
    </w:p>
    <w:p w14:paraId="0E41F42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133F6B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thanks Michael, </w:t>
      </w:r>
      <w:proofErr w:type="spellStart"/>
      <w:r>
        <w:rPr>
          <w:rFonts w:ascii="Calibri" w:eastAsia="Calibri" w:hAnsi="Calibri" w:cs="Calibri"/>
          <w:color w:val="000000"/>
          <w:sz w:val="22"/>
        </w:rPr>
        <w:t>Lekesha</w:t>
      </w:r>
      <w:proofErr w:type="spellEnd"/>
      <w:r>
        <w:rPr>
          <w:rFonts w:ascii="Calibri" w:eastAsia="Calibri" w:hAnsi="Calibri" w:cs="Calibri"/>
          <w:color w:val="000000"/>
          <w:sz w:val="22"/>
        </w:rPr>
        <w:t>, Dana, and Evan for that data overview. So we covered the background for co-enrollment data reporting under WIOA, what the data currently shows, and in the next section we'll talk to Alaska, Wisconsin, and Wyoming about how they have navigated co-enrollment, data collection, and reporting. Next slide. So in reviewing the data and reaching out to many states, we heard some practices that were common among states that report co-enrollment with WIOA core programs and have relatively low unknown data. So these approaches include strong partnerships with core programs, established data match protocols like shared databases and joint tools, and being administered under the same agency can smooth the way, but even states where programs are separated can benefit from these approaches.</w:t>
      </w:r>
    </w:p>
    <w:p w14:paraId="030E11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first, Alaska will talk about their approaches to data matching. So welcome to Kim </w:t>
      </w:r>
      <w:proofErr w:type="spellStart"/>
      <w:r>
        <w:rPr>
          <w:rFonts w:ascii="Calibri" w:eastAsia="Calibri" w:hAnsi="Calibri" w:cs="Calibri"/>
          <w:color w:val="000000"/>
          <w:sz w:val="22"/>
        </w:rPr>
        <w:t>Kolvig</w:t>
      </w:r>
      <w:proofErr w:type="spellEnd"/>
      <w:r>
        <w:rPr>
          <w:rFonts w:ascii="Calibri" w:eastAsia="Calibri" w:hAnsi="Calibri" w:cs="Calibri"/>
          <w:color w:val="000000"/>
          <w:sz w:val="22"/>
        </w:rPr>
        <w:t xml:space="preserve"> and 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 xml:space="preserve"> from Alaska to share with us their positive practices in data matching and system integration, developing partnerships and breaking down silos, and creating tools across programs. So </w:t>
      </w:r>
      <w:r>
        <w:rPr>
          <w:rFonts w:ascii="Calibri" w:eastAsia="Calibri" w:hAnsi="Calibri" w:cs="Calibri"/>
          <w:color w:val="000000"/>
          <w:sz w:val="22"/>
        </w:rPr>
        <w:lastRenderedPageBreak/>
        <w:t>our first question, Kim and Windy, can you give us a brief background on how core programs are organized in Alaska?</w:t>
      </w:r>
    </w:p>
    <w:p w14:paraId="4DB14A8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w:t>
      </w:r>
    </w:p>
    <w:p w14:paraId="25862F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Cesar. The Alaska Department of Labor and Workforce Development oversees the operation of all services provided under all six mandatory WIOA partners, Title IB, Adult and Dislocated Worker. Title II, Adult Education and Family Literacy, and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Services are housed in the Division of Employment and Training Services while Title I youth programs are administered by [inaudible 00:32:38] the Workforce Investment Board or AWIB. And our Title IV Vocational Rehabilitation has its own division dedicated to DVR services and support. Alaska has found that having all Titles in one department has been beneficial and has provided a natural link between support and services and co-enrollment.</w:t>
      </w:r>
    </w:p>
    <w:p w14:paraId="27CD09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From the commissioner level to the programs, there is a collaboration that has provided a better understanding for us on how programs can build upon partnerships for co-enrollment. And this trickle-down effect has provided our adult education providers and job center personnel, I know on my side, with a foundational knowledge based on eventually breaking down silos and building co-enrollment.</w:t>
      </w:r>
    </w:p>
    <w:p w14:paraId="7FFBBEE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77D767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system solutions are one mechanism to improve data collection and reporting of co-enrollment across core programs. What data-matching solutions are you pursuing in your current system?</w:t>
      </w:r>
    </w:p>
    <w:p w14:paraId="1DAD738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w:t>
      </w:r>
    </w:p>
    <w:p w14:paraId="2234F4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in 2020, Alaska integrated into a comprehensive online labor exchange system that we call Alaska Jobs. The system is a single sign-on system that provides an entry point for individuals and employers. It also contains modules for WIOA Title I, II, III, JVSG, Trade Adjustment Assistant, Workforce Opportunity Tax Credit, and Alaska State-funded Employment and Training programs. The participant module, sorry, the participant data management and reporting tools allow for federally required common participant performance reporting for all programs as needed based on their individual reporting requirements. For reporting, Alaska Jobs links each of these programs through common identifiers to provide data matching for performance indicators.</w:t>
      </w:r>
    </w:p>
    <w:p w14:paraId="6494CE2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common reporting built into the system reduces the need to data pool and for surveys, but we have a data sharing component. The system is built as a federal, sorry. The system is built as a federated system with common intake as well as data sharing and the integrated partnerships offer joint accountability requirements between the PIRL and the NRS, Kim.</w:t>
      </w:r>
    </w:p>
    <w:p w14:paraId="3BB4BCF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Kim </w:t>
      </w:r>
      <w:proofErr w:type="spellStart"/>
      <w:r>
        <w:rPr>
          <w:rFonts w:ascii="Calibri" w:eastAsia="Calibri" w:hAnsi="Calibri" w:cs="Calibri"/>
          <w:color w:val="000000"/>
          <w:sz w:val="22"/>
        </w:rPr>
        <w:t>Kolvig</w:t>
      </w:r>
      <w:proofErr w:type="spellEnd"/>
      <w:r>
        <w:rPr>
          <w:rFonts w:ascii="Calibri" w:eastAsia="Calibri" w:hAnsi="Calibri" w:cs="Calibri"/>
          <w:color w:val="000000"/>
          <w:sz w:val="22"/>
        </w:rPr>
        <w:t>:</w:t>
      </w:r>
    </w:p>
    <w:p w14:paraId="1FC1A4E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good morning. We are leading development of the co-enrollment module effort with geographic solutions. That's our online database system in paying for the module, designing it, and providing the business roles, the module will be available for all states that use the GSI system in their online labor exchange system. So, we're testing this in several phases. The phase one testing was creating customer group authorizations and security privileges in the administrative system. And for example, if a staff has only a youth customer group privilege, they'll not be able to edit or create services for other customer groups. This phase has been completed and was available for other GSI states to test.</w:t>
      </w:r>
    </w:p>
    <w:p w14:paraId="62DEDC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phase two was testing the adding of multiple case managers to one program application. For example, there'll always be a primary case manager assigned and now there'll be the ability to add </w:t>
      </w:r>
      <w:r>
        <w:rPr>
          <w:rFonts w:ascii="Calibri" w:eastAsia="Calibri" w:hAnsi="Calibri" w:cs="Calibri"/>
          <w:color w:val="000000"/>
          <w:sz w:val="22"/>
        </w:rPr>
        <w:lastRenderedPageBreak/>
        <w:t>additional case managers to share the record. Case managers will show in the system as primary and then secondary case managers. And the next phase will be testing how the actual co-enrollment will work in the system. So, for example, if the participant is first enrolled as a WIOA youth and later is identified to be eligible for WIOA adult, notification will be sent to the primary case manager stating something like, "This participant is enrolled in a program requiring you to co-enroll." The initial WIOA case manager would then grant access to the adult case manager providing the ability to see the WIOA youth case that includes case notes, services, all documents, et cetera.</w:t>
      </w:r>
    </w:p>
    <w:p w14:paraId="1AC76E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Both case managers will serve the individual fully and efficiently. This system will evaluate all co-enrollments based on common exit rules processing the soft exit after 90 days of no activity under all common exit programs.</w:t>
      </w:r>
    </w:p>
    <w:p w14:paraId="6FD9445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7D2012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Can you also describe your success in battling program silos within Alaska and making key partnership connections across departments?</w:t>
      </w:r>
    </w:p>
    <w:p w14:paraId="526ECDD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w:t>
      </w:r>
    </w:p>
    <w:p w14:paraId="7FDC66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As indicated previously, we have worked as a department to tear down silos through collaboration team building, and monitoring programs to provide technical assistance. In the Division of Employment and Training Services or DETS as we like to call it we consolidated our workforce services and development teams into one collaborative team and cohesiveness. This team meets weekly to provide updates, ask questions and discuss collaborative effects that are happening in the field. This is an expansion outreach and provides local programs and job center personnel with the support that they need for the collaboration and training efforts that require for their positions. The DETS team has made it a priority to find ways in which co-enrollment can increase support for individuals.</w:t>
      </w:r>
    </w:p>
    <w:p w14:paraId="45433D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Some ways in which we have changed our processes is to implement training for Title I, II, and III to better understand the aspects of each title. We have integrated training modules. For example, our job center personnel are now being trained in adult education working with English language learners and IET design while our adult education team are trained in job centers function, how to access services for adults and dislocated workers, and working with the job centers and employers. Title II local programs must also have a process in place for alignment with the 13 considerations and their grant agreement to show collaboration efforts with the job center, the Alaska Adult Education, or AAE office has developed onsite monitoring tools to make sure that the adult education providers are in alignment, Kim.</w:t>
      </w:r>
    </w:p>
    <w:p w14:paraId="3F98C75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Kim </w:t>
      </w:r>
      <w:proofErr w:type="spellStart"/>
      <w:r>
        <w:rPr>
          <w:rFonts w:ascii="Calibri" w:eastAsia="Calibri" w:hAnsi="Calibri" w:cs="Calibri"/>
          <w:color w:val="000000"/>
          <w:sz w:val="22"/>
        </w:rPr>
        <w:t>Kolvig</w:t>
      </w:r>
      <w:proofErr w:type="spellEnd"/>
      <w:r>
        <w:rPr>
          <w:rFonts w:ascii="Calibri" w:eastAsia="Calibri" w:hAnsi="Calibri" w:cs="Calibri"/>
          <w:color w:val="000000"/>
          <w:sz w:val="22"/>
        </w:rPr>
        <w:t>:</w:t>
      </w:r>
    </w:p>
    <w:p w14:paraId="6323D2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one partnership we worked on was that the Division of Employment and Training Services partnered with the Division of Public Assistance to build a referral and co-case management process for participants receiving TANF funds. This was done by a collaboration between management, field staff to break down silos. The process was presented to different regional areas in Alaska, taking into account variances by region as some TANF participants are case managed by outside grantees. The referral and co-case management process was implemented across the state and well received since the case management peers had a say in how the process worked.</w:t>
      </w:r>
    </w:p>
    <w:p w14:paraId="7060DA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for our monitoring and training with data validation and the Division of Employment and Training Services, we have one team that conducts our data validation for all Titles I, II, and III, ensuring the tools and processes are consistent between titles. Additionally, when data validation is conducted for Title II monitoring is conducted at the same time. Then training is provided to staff together and all titles to ensure accuracy and reliability of validated data for the programs.</w:t>
      </w:r>
    </w:p>
    <w:p w14:paraId="4EBE21E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Cesar Villanueva:</w:t>
      </w:r>
    </w:p>
    <w:p w14:paraId="6F26AC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Kim and Windy, you're developing joint tools across programs. Can you tell us more about what you have accomplished so far and what is in the future for Alaska?</w:t>
      </w:r>
    </w:p>
    <w:p w14:paraId="39AAE23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w:t>
      </w:r>
    </w:p>
    <w:p w14:paraId="6BB58F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Absolutely. Alaska is working on strengthening the partnership between Title I, II, and III to develop integrated education and training, or IETs within our communities. Alaska's AAE or Alaska Adult Education Programs participated in an IET design camp provided by the American Institute of Research or AIR in partnership with World Education Inc. under contract with USDOE. The AAE began building IETs in communities throughout the state but quickly realized that our Title I and Title III partners were missing from the conversations. With the help of materials provided by AIR, we have put together an IET training series that we have brought together to the team for Title I, II, and III to help guide these Titles in working together to design and build capacity for IETs in Alaska. We will then be working on building this for youth and into DVR in the future, Kim.</w:t>
      </w:r>
    </w:p>
    <w:p w14:paraId="2F5F748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Kim </w:t>
      </w:r>
      <w:proofErr w:type="spellStart"/>
      <w:r>
        <w:rPr>
          <w:rFonts w:ascii="Calibri" w:eastAsia="Calibri" w:hAnsi="Calibri" w:cs="Calibri"/>
          <w:color w:val="000000"/>
          <w:sz w:val="22"/>
        </w:rPr>
        <w:t>Kolvig</w:t>
      </w:r>
      <w:proofErr w:type="spellEnd"/>
      <w:r>
        <w:rPr>
          <w:rFonts w:ascii="Calibri" w:eastAsia="Calibri" w:hAnsi="Calibri" w:cs="Calibri"/>
          <w:color w:val="000000"/>
          <w:sz w:val="22"/>
        </w:rPr>
        <w:t>:</w:t>
      </w:r>
    </w:p>
    <w:p w14:paraId="7C063B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also a joint effort was undertaken by Title II and Title I staff to identify additional participants with basic skills deficiencies. After conducting research on the methods other states were using Alaska customize a basic skills deficiency screening tool for use in the job centers. The idea was to provide the tool to inquirers in order for them to self-identify a possible basic skills deficiency and therefore be referred to Title II services. The referral between programs and co-case management for shared enrollments were discussed by staff from Title I and II and training was given to staff.</w:t>
      </w:r>
    </w:p>
    <w:p w14:paraId="1628831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Additionally, a basic skills deficiency referral form was created to better communicate between agencies for the benefit of the participant that included a release of information for sharing information between agencies to ensure non-duplication of services and resource management. This tool is also created to increase our priority service measure, basic skills deficiency enrollment numbers. We haven't quite reached the required level for the priority service, so this is one tool created for that purpose.</w:t>
      </w:r>
    </w:p>
    <w:p w14:paraId="2B3AF48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0FC3EF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thank you Kim and Windy for providing the context for us. And next, we want to welcome Deanna Krell and Andrew Eastman from Wisconsin. So Deanna and Andrew, can you give us a quick overview of the structure of the core programs in Wisconsin?</w:t>
      </w:r>
    </w:p>
    <w:p w14:paraId="6AB6CA4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Deanna Krell:</w:t>
      </w:r>
    </w:p>
    <w:p w14:paraId="017A9F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in Wisconsin, Titles I, III, and IV exist within our Department of Workforce Development, and Title II is housed in a different department, the Wisconsin Technical College System. With the implementation of WIOA, having three titles within the same department was helpful, making things like data-sharing agreements a little bit easier. But even with Title II being in a different department, they've always been involved in our WIOA discussions. In Wisconsin, VR program has our own case management system. So, we were able to make the adjustments required by WIOA somewhat quickly. We initially created pages within our case management system for staff to input data regarding our consumers' involvement with other WIOA programs.</w:t>
      </w:r>
    </w:p>
    <w:p w14:paraId="583CEA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also asked VR consumers looking for a job to upload their resumes to our Title III state labor exchange system, which we call the Job Center of Wisconsin. This system communicates with our VR case management system and we can see if a VR [inaudible 00:44:32] consumes is offered through Title </w:t>
      </w:r>
      <w:r>
        <w:rPr>
          <w:rFonts w:ascii="Calibri" w:eastAsia="Calibri" w:hAnsi="Calibri" w:cs="Calibri"/>
          <w:color w:val="000000"/>
          <w:sz w:val="22"/>
        </w:rPr>
        <w:lastRenderedPageBreak/>
        <w:t>III's Job Center of Wisconsin. So that summarizes a bit about the setup and structure of the workforce system in Wisconsin and a little bit about how we started with our data collection for co-enrollment. Thanks.</w:t>
      </w:r>
    </w:p>
    <w:p w14:paraId="34016CF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35BF170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Many states have questions about data matching across various systems and when information may be incomplete. What is Wisconsin's approach, Andrew?</w:t>
      </w:r>
    </w:p>
    <w:p w14:paraId="7EE4323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Andrew Eastman:</w:t>
      </w:r>
    </w:p>
    <w:p w14:paraId="1366BE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thanks for that question. So, in Wisconsin, as you mentioned, really have three case management systems that we're looking at in the state Title I and III share one case management system. Titles II and IV have independent case management systems. And as we've gone down the path of co-enrollment, we've really had to look hard at how do we analyze data across three very discreet systems and try to get at co-enrollment. So initially we brought all the titles together. We had some high-level discussions about what data are we tracking, how do we label our data, how do we store our data. And really realized a lot of the differences we have in those realms. Even fundamentally, how do we identify a person.</w:t>
      </w:r>
    </w:p>
    <w:p w14:paraId="67ABA9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Not all of our programs require a social security number as an identifier. How are we going to be able to match these people? The approach that we really took is doing MOUs between the titles and then we created a centralized data warehouse where all of the WIOA Titles imported a list of their reportable individuals so that we could really start to get at co-enrollment. And as we looked at our initial take at the warehouse, we really realized that the SSN issue was a big problem for us in trying to get at people. How do we know that Bob Smith in Title II is the same bob Smith in Title IV, is the same Richard Smith, it's in Title III? We were able to get some good results using SSN as an indicator initially, and I think that really gave us a big step in Wisconsin towards getting at co-enrollment but not to the accuracy of the numbers that we're looking for.</w:t>
      </w:r>
    </w:p>
    <w:p w14:paraId="3F8EFE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Wisconsin, we do not have any type of a master person index or file like some other states [inaudible 00:47:07] starting to [inaudible 00:47:10] each agency to create such an index. So the route that we've looked at is actually procuring software. It's called IBM Identity Management, which allows us to do fuzzy matches. So we can pull information like first, last name, phone numbers, previous addresses, email addresses that does a lot of the person matching for us. It's software that we've used as we've built out a longitudinal warehouse within the agency across all our workforce programs. We're looking to bring that in for use on our co-enrollment reporting as well.</w:t>
      </w:r>
    </w:p>
    <w:p w14:paraId="6BBB01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where we stand today is we've managed to build out a dashboard that's shared with our WIOA Titles that gets at co-enrollment using strictly a social security number match. And we're currently working on using the fuzzy match logic to further be able to refine and hopefully increase our co-enrollment numbers with the confidence that we are serving like people across we WIOA Titles. Our other goal is to actually be able to pull in co-enrollment to all the case management systems directly so that in real-time staff and each of the WIOA Titles and their unique case management systems will be able to see if a particular individual is actively being served or has been served by another WIOA Title or partner to really get at that spirit of co-enrollment and providing the best possible service for the individuals that we're serving. Thanks, Cesar.</w:t>
      </w:r>
    </w:p>
    <w:p w14:paraId="003B720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03927B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thank you Andrew and Deanna for that discussion. Appreciate that insight. Next, we'll focus on partnership and welcome Christina West and Diane McQueen from Wyoming to share with us </w:t>
      </w:r>
      <w:r>
        <w:rPr>
          <w:rFonts w:ascii="Calibri" w:eastAsia="Calibri" w:hAnsi="Calibri" w:cs="Calibri"/>
          <w:color w:val="000000"/>
          <w:sz w:val="22"/>
        </w:rPr>
        <w:lastRenderedPageBreak/>
        <w:t>Wyoming's success in developing partnerships. So, Christina, can you give us a brief overview of how Wyoming is structured?</w:t>
      </w:r>
    </w:p>
    <w:p w14:paraId="258EC74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Christina West:</w:t>
      </w:r>
    </w:p>
    <w:p w14:paraId="7180AB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thanks, Cesar. Good afternoon. In Wyoming, WIOA, Title IB, Adult, Dislocated Worker and Youth,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Title IV Vocational Rehabilitation, they are all housed within the Wyoming Department of Workforce Services. Title II Adult Education is housed with the Wyoming Community College Commission. At the state and local level DWS collaborates with the Community College Commission. A representative of the Community College Commission is also a member of the Wyoming Workforce Development Council, our state web. Wyoming's one-stop system is also run in-house through the Department of Workforce Services, which allows further collaboration between the local DWS staff, state-level DWS staff, and adult education.</w:t>
      </w:r>
    </w:p>
    <w:p w14:paraId="7045EEA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45E29D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Can you also please discuss the impact that the partnership development has played in your co-enrollment strategy? Diane?</w:t>
      </w:r>
    </w:p>
    <w:p w14:paraId="21AF976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Diane McQueen:</w:t>
      </w:r>
    </w:p>
    <w:p w14:paraId="684EF25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Sorry, I forgot to unmute myself.</w:t>
      </w:r>
    </w:p>
    <w:p w14:paraId="37B339B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71B8DF1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worries.</w:t>
      </w:r>
    </w:p>
    <w:p w14:paraId="5C5454F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Diane McQueen:</w:t>
      </w:r>
    </w:p>
    <w:p w14:paraId="2A4D7F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state of Wyoming currently has one of the highest co-enrollment rates with Title I, Title II, and Title III. We believe this is due to the strong partnership that has developed between Wyoming's adult education programs and the Wyoming Department of Workforce Services. In the midst of the pandemic, the state Director of Adult Education, myself, and the workforce One-Stop deputy administrator, my colleague on the call today, met and set out to strengthen our collaborative efforts and to really improve our overall knowledge of our core programs. Our intent was to cross-train both of our teams so that our staff members would have a clear understanding that we have common elements between us, such as the One-Stop, barriers to employment, common reporting measures, and using local economic needs to develop programming.</w:t>
      </w:r>
    </w:p>
    <w:p w14:paraId="7A0FC2F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Christina West:</w:t>
      </w:r>
    </w:p>
    <w:p w14:paraId="49B7E5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quickly saw the need to bring our teams together on a consistent basis. We started with basic meet and greets, really just wanting to get to know one another, which has now led to quarterly meetings with both the adult education team and the Department of Workforce Services, the One-Stops. The provider, again, of WIOA Title IB and Title III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The quarterly meetings provided a lot of cross-collaboration, shared projects, and opportunities, general information-sharing challenges were always brought to the forefront, what's working, what's not. Cross-training on services that we provide, really understanding eligibility for all the programs and how the measures are shared. Overall, we wanted to promote a stronger relationship-building opportunity as that's really what it's about, our relationships.</w:t>
      </w:r>
    </w:p>
    <w:p w14:paraId="2EFCD81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Diane McQueen:</w:t>
      </w:r>
    </w:p>
    <w:p w14:paraId="34F9E0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Through our continued partnership, Wyoming has changed the way services from adult education and the One-Stop are delivered. In many areas of the state, the Department of Workforce Services staff members now have office hours at adult education centers, or they frequently visiting the adult education programs and hold team meetings with participants. Adult education is also now a regular part of Wyoming's rapid response events and DWS is playing an important role in developing the IETs for the state of Wyoming.</w:t>
      </w:r>
    </w:p>
    <w:p w14:paraId="712BAC9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Both myself and Christina have continued to meet every other week to discuss our partnership and to brainstorm on ideas on how to move our programs forward. These discussions have led to shared presentations in the community and with our state web. Through these conversations, we've developed specific educational programs as well as we've written a joint American Rescue Plan Act proposal for the development of IETs and for adult high school equivalency programming in the state.</w:t>
      </w:r>
    </w:p>
    <w:p w14:paraId="33894C3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Christina West:</w:t>
      </w:r>
    </w:p>
    <w:p w14:paraId="353CA8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conclude all of the adult education and one-stop staff understand that through this partnership we can provide comprehensive, individualized services to the Wyoming citizens that are really most in need. We thoroughly have enjoyed working together and being able to help develop and guide the field in ways that are benefiting the people of Wyoming. We are a team and are no longer working in individual silos. Thank you.</w:t>
      </w:r>
    </w:p>
    <w:p w14:paraId="73239DE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386C94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Well, thank you, Christina, Diane, and all of our state presenters for sharing their different approaches for improving data collection and reporting of co-enrollment across WIOA core programs. So next we'll take as many questions as we can. So please continue to put your questions into the Q&amp;A feature. State presenter information is included in the presentation. If you have any additional follow-up questions, please reach out to them. So with that, let's take a look at some questions. So I have one question in the Q&amp;A, "Who was providing the training?" Christina, do you want to answer that question?</w:t>
      </w:r>
    </w:p>
    <w:p w14:paraId="38873C1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Christina </w:t>
      </w:r>
      <w:proofErr w:type="spellStart"/>
      <w:r>
        <w:rPr>
          <w:rFonts w:ascii="Calibri" w:eastAsia="Calibri" w:hAnsi="Calibri" w:cs="Calibri"/>
          <w:color w:val="000000"/>
          <w:sz w:val="22"/>
        </w:rPr>
        <w:t>Eckenroth</w:t>
      </w:r>
      <w:proofErr w:type="spellEnd"/>
      <w:r>
        <w:rPr>
          <w:rFonts w:ascii="Calibri" w:eastAsia="Calibri" w:hAnsi="Calibri" w:cs="Calibri"/>
          <w:color w:val="000000"/>
          <w:sz w:val="22"/>
        </w:rPr>
        <w:t>:</w:t>
      </w:r>
    </w:p>
    <w:p w14:paraId="371A23E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Cesar, this is for, I think this was a question in relation to Alaska.</w:t>
      </w:r>
    </w:p>
    <w:p w14:paraId="00E099C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437761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Gotcha.</w:t>
      </w:r>
    </w:p>
    <w:p w14:paraId="55E3291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Christina </w:t>
      </w:r>
      <w:proofErr w:type="spellStart"/>
      <w:r>
        <w:rPr>
          <w:rFonts w:ascii="Calibri" w:eastAsia="Calibri" w:hAnsi="Calibri" w:cs="Calibri"/>
          <w:color w:val="000000"/>
          <w:sz w:val="22"/>
        </w:rPr>
        <w:t>Eckenroth</w:t>
      </w:r>
      <w:proofErr w:type="spellEnd"/>
      <w:r>
        <w:rPr>
          <w:rFonts w:ascii="Calibri" w:eastAsia="Calibri" w:hAnsi="Calibri" w:cs="Calibri"/>
          <w:color w:val="000000"/>
          <w:sz w:val="22"/>
        </w:rPr>
        <w:t>:</w:t>
      </w:r>
    </w:p>
    <w:p w14:paraId="06AB22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came in when Alaska was presenting. So, the state, my understanding is that the state is providing the training, you mean to the field, so they're doing it jointly.</w:t>
      </w:r>
    </w:p>
    <w:p w14:paraId="6E53B03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Windy </w:t>
      </w:r>
      <w:proofErr w:type="spellStart"/>
      <w:r>
        <w:rPr>
          <w:rFonts w:ascii="Calibri" w:eastAsia="Calibri" w:hAnsi="Calibri" w:cs="Calibri"/>
          <w:color w:val="000000"/>
          <w:sz w:val="22"/>
        </w:rPr>
        <w:t>Swearingin</w:t>
      </w:r>
      <w:proofErr w:type="spellEnd"/>
      <w:r>
        <w:rPr>
          <w:rFonts w:ascii="Calibri" w:eastAsia="Calibri" w:hAnsi="Calibri" w:cs="Calibri"/>
          <w:color w:val="000000"/>
          <w:sz w:val="22"/>
        </w:rPr>
        <w:t>:</w:t>
      </w:r>
    </w:p>
    <w:p w14:paraId="1B9C36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answer that Christina, actually we do it cross-collaboratively. We have WIOA Title I, so this is Adult education with adult ed. We have a Title I come in and do presentations and trainings with our staff. And as part of the state office, we provide the training for WIOA Title I and III. So, we do cross-collaboration on our training.</w:t>
      </w:r>
    </w:p>
    <w:p w14:paraId="52DB04D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37560E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Great, thank you, Windy. We have another question. "What case management system does Wisconsin VR use?"</w:t>
      </w:r>
    </w:p>
    <w:p w14:paraId="7B841A4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Deanna Krell:</w:t>
      </w:r>
    </w:p>
    <w:p w14:paraId="15F218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that is, we created that system ourselves, we call it IRIS, Integrated Rehabilitation Information System.</w:t>
      </w:r>
    </w:p>
    <w:p w14:paraId="03944BC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6B2C0E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thanks, Deanna. And another question that we have is, "Is this off-the-shelf fuzzy matching? If so, what software did you use or did you build it internally?" And that's for Wisconsin as well.</w:t>
      </w:r>
    </w:p>
    <w:p w14:paraId="14322C1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Andrew Eastman:</w:t>
      </w:r>
    </w:p>
    <w:p w14:paraId="63D317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I'll take that one. So we are using software called IBM Identity Insight for doing our fuzzy matching. Again, we were able to procure the software because we're also sharing it with an effort to build a longitudinal warehouse, but it allows us to pull in demographic information about individuals and then set logic rules and tolerances for identifying common identities.</w:t>
      </w:r>
    </w:p>
    <w:p w14:paraId="342BD2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103C9C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thanks, Andrew. And it seems like we have time for one final question before we wrap up. And Evan and Dana, hopefully, you can answer this question. "Are you seeking to only know if a participant is enrolled in each of these programs or are you truly interested in co-enrollment and co-service strategies? These are different, making cross-matching automatically by data system seems like it defeats the true goal of co-enrollment."</w:t>
      </w:r>
    </w:p>
    <w:p w14:paraId="003F049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Evan Rosenberg:</w:t>
      </w:r>
    </w:p>
    <w:p w14:paraId="0CA0FE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 can jump in on that one. And then Dana, if you want to add anything, feel free. We're absolutely interested in both. We are interested in the reporting side and more importantly the service side as well. And what type of post-service strategies and co-enrollment strategies you're using. Today's webinar was more on the first side because until we have accurate reporting, we're not going to be able to get to the strategy piece. But I think we want to do some technical assistance in the future, looking at the programmatic side of co-enrollment and co-service strategies and figuring out how to make that happen. And if any of you out there have good programmatic service strategies for co-enrollment, feel free to reach out to us and let us know that maybe we can feature you on future technical assistance.</w:t>
      </w:r>
    </w:p>
    <w:p w14:paraId="17575EE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Cesar Villanueva:</w:t>
      </w:r>
    </w:p>
    <w:p w14:paraId="0DDFEE1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Thanks, Evan. So thanks to all for attending today's webinar. If you have any other questions, please reach out to the ETAperforms@dol.gov email or any other of our contact information on today's presentation. We hope you have a great rest of your day and thanks again to everyone for attending today's webinar.</w:t>
      </w:r>
    </w:p>
    <w:p w14:paraId="62BEC050"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9DEFB" w14:textId="77777777" w:rsidR="002B5DBF" w:rsidRDefault="002B5DBF">
      <w:r>
        <w:separator/>
      </w:r>
    </w:p>
  </w:endnote>
  <w:endnote w:type="continuationSeparator" w:id="0">
    <w:p w14:paraId="7A029C1F" w14:textId="77777777" w:rsidR="002B5DBF" w:rsidRDefault="002B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F17A10" w:rsidRPr="00D031C9" w14:paraId="6FC11185" w14:textId="77777777">
      <w:tc>
        <w:tcPr>
          <w:tcW w:w="4000" w:type="pct"/>
          <w:tcBorders>
            <w:top w:val="nil"/>
            <w:left w:val="nil"/>
            <w:bottom w:val="nil"/>
            <w:right w:val="nil"/>
          </w:tcBorders>
          <w:noWrap/>
        </w:tcPr>
        <w:p w14:paraId="0C410292" w14:textId="77777777" w:rsidR="00F17A10" w:rsidRPr="00D031C9" w:rsidRDefault="00000000">
          <w:pPr>
            <w:rPr>
              <w:rFonts w:asciiTheme="minorHAnsi" w:hAnsiTheme="minorHAnsi" w:cstheme="minorHAnsi"/>
              <w:b/>
              <w:bCs/>
              <w:sz w:val="20"/>
              <w:szCs w:val="20"/>
            </w:rPr>
          </w:pPr>
          <w:r w:rsidRPr="00D031C9">
            <w:rPr>
              <w:rFonts w:asciiTheme="minorHAnsi" w:hAnsiTheme="minorHAnsi" w:cstheme="minorHAnsi"/>
              <w:b/>
              <w:bCs/>
              <w:sz w:val="20"/>
              <w:szCs w:val="20"/>
            </w:rPr>
            <w:t xml:space="preserve">032823 </w:t>
          </w:r>
          <w:proofErr w:type="spellStart"/>
          <w:r w:rsidRPr="00D031C9">
            <w:rPr>
              <w:rFonts w:asciiTheme="minorHAnsi" w:hAnsiTheme="minorHAnsi" w:cstheme="minorHAnsi"/>
              <w:b/>
              <w:bCs/>
              <w:sz w:val="20"/>
              <w:szCs w:val="20"/>
            </w:rPr>
            <w:t>Coenrollment</w:t>
          </w:r>
          <w:proofErr w:type="spellEnd"/>
          <w:r w:rsidRPr="00D031C9">
            <w:rPr>
              <w:rFonts w:asciiTheme="minorHAnsi" w:hAnsiTheme="minorHAnsi" w:cstheme="minorHAnsi"/>
              <w:b/>
              <w:bCs/>
              <w:sz w:val="20"/>
              <w:szCs w:val="20"/>
            </w:rPr>
            <w:t xml:space="preserve"> (Completed  03/29/23)</w:t>
          </w:r>
        </w:p>
        <w:p w14:paraId="350C5CE7" w14:textId="77777777" w:rsidR="00F17A10" w:rsidRPr="00D031C9" w:rsidRDefault="00000000">
          <w:pPr>
            <w:rPr>
              <w:rFonts w:asciiTheme="minorHAnsi" w:hAnsiTheme="minorHAnsi" w:cstheme="minorHAnsi"/>
              <w:b/>
              <w:bCs/>
              <w:sz w:val="20"/>
              <w:szCs w:val="20"/>
            </w:rPr>
          </w:pPr>
          <w:r w:rsidRPr="00D031C9">
            <w:rPr>
              <w:rFonts w:asciiTheme="minorHAnsi" w:hAnsiTheme="minorHAnsi" w:cstheme="minorHAnsi"/>
              <w:b/>
              <w:bCs/>
              <w:sz w:val="20"/>
              <w:szCs w:val="20"/>
            </w:rPr>
            <w:t xml:space="preserve">Transcript by </w:t>
          </w:r>
          <w:hyperlink r:id="rId1" w:history="1">
            <w:r w:rsidRPr="00D031C9">
              <w:rPr>
                <w:rFonts w:asciiTheme="minorHAnsi" w:hAnsiTheme="minorHAnsi" w:cstheme="minorHAnsi"/>
                <w:b/>
                <w:bCs/>
                <w:color w:val="0000FF"/>
                <w:sz w:val="20"/>
                <w:szCs w:val="20"/>
                <w:u w:val="single"/>
              </w:rPr>
              <w:t>Rev.com</w:t>
            </w:r>
          </w:hyperlink>
        </w:p>
      </w:tc>
      <w:tc>
        <w:tcPr>
          <w:tcW w:w="1000" w:type="pct"/>
          <w:tcBorders>
            <w:top w:val="nil"/>
            <w:left w:val="nil"/>
            <w:bottom w:val="nil"/>
            <w:right w:val="nil"/>
          </w:tcBorders>
          <w:noWrap/>
        </w:tcPr>
        <w:p w14:paraId="3654D6CC" w14:textId="77777777" w:rsidR="00F17A10" w:rsidRPr="00D031C9" w:rsidRDefault="00000000">
          <w:pPr>
            <w:jc w:val="right"/>
            <w:rPr>
              <w:rFonts w:asciiTheme="minorHAnsi" w:hAnsiTheme="minorHAnsi" w:cstheme="minorHAnsi"/>
              <w:b/>
              <w:bCs/>
              <w:sz w:val="20"/>
              <w:szCs w:val="20"/>
            </w:rPr>
          </w:pPr>
          <w:r w:rsidRPr="00D031C9">
            <w:rPr>
              <w:rFonts w:asciiTheme="minorHAnsi" w:hAnsiTheme="minorHAnsi" w:cstheme="minorHAnsi"/>
              <w:b/>
              <w:bCs/>
              <w:sz w:val="20"/>
              <w:szCs w:val="20"/>
            </w:rPr>
            <w:t xml:space="preserve">Page </w:t>
          </w:r>
          <w:r w:rsidRPr="00D031C9">
            <w:rPr>
              <w:rFonts w:asciiTheme="minorHAnsi" w:hAnsiTheme="minorHAnsi" w:cstheme="minorHAnsi"/>
              <w:b/>
              <w:bCs/>
              <w:sz w:val="20"/>
              <w:szCs w:val="20"/>
            </w:rPr>
            <w:fldChar w:fldCharType="begin"/>
          </w:r>
          <w:r w:rsidRPr="00D031C9">
            <w:rPr>
              <w:rFonts w:asciiTheme="minorHAnsi" w:hAnsiTheme="minorHAnsi" w:cstheme="minorHAnsi"/>
              <w:b/>
              <w:bCs/>
              <w:sz w:val="20"/>
              <w:szCs w:val="20"/>
            </w:rPr>
            <w:instrText>PAGE</w:instrText>
          </w:r>
          <w:r w:rsidRPr="00D031C9">
            <w:rPr>
              <w:rFonts w:asciiTheme="minorHAnsi" w:hAnsiTheme="minorHAnsi" w:cstheme="minorHAnsi"/>
              <w:b/>
              <w:bCs/>
              <w:sz w:val="20"/>
              <w:szCs w:val="20"/>
            </w:rPr>
            <w:fldChar w:fldCharType="separate"/>
          </w:r>
          <w:r w:rsidR="00D031C9" w:rsidRPr="00D031C9">
            <w:rPr>
              <w:rFonts w:asciiTheme="minorHAnsi" w:hAnsiTheme="minorHAnsi" w:cstheme="minorHAnsi"/>
              <w:b/>
              <w:bCs/>
              <w:noProof/>
              <w:sz w:val="20"/>
              <w:szCs w:val="20"/>
            </w:rPr>
            <w:t>1</w:t>
          </w:r>
          <w:r w:rsidRPr="00D031C9">
            <w:rPr>
              <w:rFonts w:asciiTheme="minorHAnsi" w:hAnsiTheme="minorHAnsi" w:cstheme="minorHAnsi"/>
              <w:b/>
              <w:bCs/>
              <w:sz w:val="20"/>
              <w:szCs w:val="20"/>
            </w:rPr>
            <w:fldChar w:fldCharType="end"/>
          </w:r>
          <w:r w:rsidRPr="00D031C9">
            <w:rPr>
              <w:rFonts w:asciiTheme="minorHAnsi" w:hAnsiTheme="minorHAnsi" w:cstheme="minorHAnsi"/>
              <w:b/>
              <w:bCs/>
              <w:sz w:val="20"/>
              <w:szCs w:val="20"/>
            </w:rPr>
            <w:t xml:space="preserve"> of </w:t>
          </w:r>
          <w:r w:rsidRPr="00D031C9">
            <w:rPr>
              <w:rFonts w:asciiTheme="minorHAnsi" w:hAnsiTheme="minorHAnsi" w:cstheme="minorHAnsi"/>
              <w:b/>
              <w:bCs/>
              <w:sz w:val="20"/>
              <w:szCs w:val="20"/>
            </w:rPr>
            <w:fldChar w:fldCharType="begin"/>
          </w:r>
          <w:r w:rsidRPr="00D031C9">
            <w:rPr>
              <w:rFonts w:asciiTheme="minorHAnsi" w:hAnsiTheme="minorHAnsi" w:cstheme="minorHAnsi"/>
              <w:b/>
              <w:bCs/>
              <w:sz w:val="20"/>
              <w:szCs w:val="20"/>
            </w:rPr>
            <w:instrText>NUMPAGES</w:instrText>
          </w:r>
          <w:r w:rsidRPr="00D031C9">
            <w:rPr>
              <w:rFonts w:asciiTheme="minorHAnsi" w:hAnsiTheme="minorHAnsi" w:cstheme="minorHAnsi"/>
              <w:b/>
              <w:bCs/>
              <w:sz w:val="20"/>
              <w:szCs w:val="20"/>
            </w:rPr>
            <w:fldChar w:fldCharType="separate"/>
          </w:r>
          <w:r w:rsidR="00D031C9" w:rsidRPr="00D031C9">
            <w:rPr>
              <w:rFonts w:asciiTheme="minorHAnsi" w:hAnsiTheme="minorHAnsi" w:cstheme="minorHAnsi"/>
              <w:b/>
              <w:bCs/>
              <w:noProof/>
              <w:sz w:val="20"/>
              <w:szCs w:val="20"/>
            </w:rPr>
            <w:t>2</w:t>
          </w:r>
          <w:r w:rsidRPr="00D031C9">
            <w:rPr>
              <w:rFonts w:asciiTheme="minorHAnsi" w:hAnsiTheme="minorHAnsi" w:cstheme="minorHAnsi"/>
              <w:b/>
              <w:bCs/>
              <w:sz w:val="20"/>
              <w:szCs w:val="20"/>
            </w:rPr>
            <w:fldChar w:fldCharType="end"/>
          </w:r>
        </w:p>
      </w:tc>
    </w:tr>
  </w:tbl>
  <w:p w14:paraId="5CCA0B1C" w14:textId="77777777" w:rsidR="00F17A10" w:rsidRPr="00D031C9" w:rsidRDefault="00F17A10">
    <w:pPr>
      <w:rPr>
        <w:rFonts w:asciiTheme="minorHAnsi" w:hAnsiTheme="minorHAnsi" w:cstheme="minorHAnsi"/>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CEFA8" w14:textId="77777777" w:rsidR="002B5DBF" w:rsidRDefault="002B5DBF">
      <w:r>
        <w:separator/>
      </w:r>
    </w:p>
  </w:footnote>
  <w:footnote w:type="continuationSeparator" w:id="0">
    <w:p w14:paraId="517A4884" w14:textId="77777777" w:rsidR="002B5DBF" w:rsidRDefault="002B5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17A10" w:rsidRPr="00D031C9" w14:paraId="285B3FDB" w14:textId="77777777">
      <w:tc>
        <w:tcPr>
          <w:tcW w:w="5000" w:type="pct"/>
          <w:tcBorders>
            <w:top w:val="nil"/>
            <w:left w:val="nil"/>
            <w:bottom w:val="nil"/>
            <w:right w:val="nil"/>
          </w:tcBorders>
          <w:noWrap/>
        </w:tcPr>
        <w:p w14:paraId="559902ED" w14:textId="77777777" w:rsidR="00F17A10" w:rsidRPr="00D031C9" w:rsidRDefault="00D031C9">
          <w:pPr>
            <w:rPr>
              <w:rFonts w:asciiTheme="minorHAnsi" w:hAnsiTheme="minorHAnsi" w:cstheme="minorHAnsi"/>
              <w:b/>
              <w:bCs/>
              <w:color w:val="808080"/>
              <w:sz w:val="20"/>
              <w:szCs w:val="20"/>
            </w:rPr>
          </w:pPr>
          <w:r w:rsidRPr="00D031C9">
            <w:rPr>
              <w:rFonts w:asciiTheme="minorHAnsi" w:hAnsiTheme="minorHAnsi" w:cstheme="minorHAnsi"/>
              <w:b/>
              <w:bCs/>
              <w:color w:val="808080"/>
              <w:sz w:val="20"/>
              <w:szCs w:val="20"/>
            </w:rPr>
            <w:t>Co-enrollment Across WIOA Core Programs: Requirements, Promising Practices, and Resources</w:t>
          </w:r>
        </w:p>
        <w:p w14:paraId="50109CC6" w14:textId="68AE0F57" w:rsidR="00D031C9" w:rsidRPr="00D031C9" w:rsidRDefault="00D031C9">
          <w:pPr>
            <w:rPr>
              <w:rFonts w:asciiTheme="minorHAnsi" w:hAnsiTheme="minorHAnsi" w:cstheme="minorHAnsi"/>
              <w:b/>
              <w:bCs/>
              <w:color w:val="000000"/>
              <w:sz w:val="20"/>
              <w:szCs w:val="20"/>
            </w:rPr>
          </w:pPr>
          <w:r w:rsidRPr="00D031C9">
            <w:rPr>
              <w:rFonts w:asciiTheme="minorHAnsi" w:hAnsiTheme="minorHAnsi" w:cstheme="minorHAnsi"/>
              <w:b/>
              <w:bCs/>
              <w:color w:val="808080"/>
              <w:sz w:val="20"/>
              <w:szCs w:val="20"/>
            </w:rPr>
            <w:t>March 28, 2023</w:t>
          </w:r>
        </w:p>
      </w:tc>
    </w:tr>
  </w:tbl>
  <w:p w14:paraId="4FAD8BED" w14:textId="77777777" w:rsidR="00F17A10" w:rsidRPr="00D031C9" w:rsidRDefault="00F17A10">
    <w:pPr>
      <w:rPr>
        <w:rFonts w:asciiTheme="minorHAnsi" w:hAnsiTheme="minorHAnsi" w:cstheme="minorHAnsi"/>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B5DBF"/>
    <w:rsid w:val="00A77B3E"/>
    <w:rsid w:val="00CA2A55"/>
    <w:rsid w:val="00D031C9"/>
    <w:rsid w:val="00F1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F0B79"/>
  <w15:docId w15:val="{B5F8F8BE-DAF6-470A-8696-DE17BC36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031C9"/>
    <w:pPr>
      <w:tabs>
        <w:tab w:val="center" w:pos="4680"/>
        <w:tab w:val="right" w:pos="9360"/>
      </w:tabs>
    </w:pPr>
  </w:style>
  <w:style w:type="character" w:customStyle="1" w:styleId="HeaderChar">
    <w:name w:val="Header Char"/>
    <w:basedOn w:val="DefaultParagraphFont"/>
    <w:link w:val="Header"/>
    <w:rsid w:val="00D031C9"/>
    <w:rPr>
      <w:sz w:val="24"/>
      <w:szCs w:val="24"/>
    </w:rPr>
  </w:style>
  <w:style w:type="paragraph" w:styleId="Footer">
    <w:name w:val="footer"/>
    <w:basedOn w:val="Normal"/>
    <w:link w:val="FooterChar"/>
    <w:unhideWhenUsed/>
    <w:rsid w:val="00D031C9"/>
    <w:pPr>
      <w:tabs>
        <w:tab w:val="center" w:pos="4680"/>
        <w:tab w:val="right" w:pos="9360"/>
      </w:tabs>
    </w:pPr>
  </w:style>
  <w:style w:type="character" w:customStyle="1" w:styleId="FooterChar">
    <w:name w:val="Footer Char"/>
    <w:basedOn w:val="DefaultParagraphFont"/>
    <w:link w:val="Footer"/>
    <w:rsid w:val="00D031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097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8377</Words>
  <Characters>42477</Characters>
  <Application>Microsoft Office Word</Application>
  <DocSecurity>0</DocSecurity>
  <Lines>589</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2</cp:revision>
  <dcterms:created xsi:type="dcterms:W3CDTF">2023-03-30T19:44:00Z</dcterms:created>
  <dcterms:modified xsi:type="dcterms:W3CDTF">2023-03-30T19:45:00Z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b84563e8ed7f9d25c8c38c173c85932880e907fd8dcbfa6a28dbb696fedf90f2</vt:lpwstr>
  </property>
</Properties>
</file>