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884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338532C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would like to introduce your Department of Labor moderator for Closing Out Your US Department of Labor Grant webinar.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 is a workforce analyst with the US Department of Labor Employment and Training Administration. Please, welcome,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w:t>
      </w:r>
    </w:p>
    <w:p w14:paraId="17F94A8B"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51AD78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Alina, for that introduction. Welcome, everyone, to our Closing Out Your USDOL Grant session. As Alina mentioned, I am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 and I am the grant lead for the Scaling Apprenticeship Grant program here at ETA. I'm very happy to join us. I just wanted to note, I do see a lot of people that are not Scaling Apprenticeship grantees that have joined our session. Welcome to all of you.</w:t>
      </w:r>
    </w:p>
    <w:p w14:paraId="07062D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Wanted to remind everyone that this is was designed for the Scaling Apprenticeship Grant grantees. Although, the information provided is very general, so the questions may be very pointed towards that grant program. Just as a FYI before we start. Today, we're talking about the closeout process for the Scaling Apprenticeship Grant program. I know many of the Scaling Apprenticeship Grant grantees have received a no-cost extension or in the process of requesting one, which means that you, as the grantee, will not be engaging in the closeout process just yet. However, there has been a great interest from our grantees for information on the process, which is why we're holding this session today.</w:t>
      </w:r>
    </w:p>
    <w:p w14:paraId="130350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Just as a reminder, this session will be recorded and will be made available to everyone on the Scaling Apprenticeship WorkforceGPS site a few days after this session, and you will be able to ask questions throughout the session once we are done with the presentation portion of the session. Without further ado, I'm going to introduce you to my colleague, Avery Malone. Avery is a grant closeout resolution specialist in the DOL Office of Grants Management. Avery is an expert and all things closeout, so we are excited, I'm very privileged to have him here with us. I'm going to now turn it over to Avery to give us all his wisdom on the closeout process. Avery.</w:t>
      </w:r>
    </w:p>
    <w:p w14:paraId="01347E0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55D343C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Good afternoon. Thank you for that wonderful, wonderful introduction. Yeah, I appreciate it. Welcome to all of our participants today. Thank you for coming to this presentation. As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said, this one is geared towards the Apprenticeship program. However, a lot of the information provided is general and will pertain to many of the different programs that are awarded under the Employment and Training Agency. So, whether you're from Apprenticeship or so I believe </w:t>
      </w:r>
      <w:proofErr w:type="spellStart"/>
      <w:r>
        <w:rPr>
          <w:rFonts w:ascii="Calibri" w:eastAsia="Calibri" w:hAnsi="Calibri" w:cs="Calibri"/>
          <w:color w:val="000000"/>
          <w:sz w:val="22"/>
        </w:rPr>
        <w:t>YouthBuild</w:t>
      </w:r>
      <w:proofErr w:type="spellEnd"/>
      <w:r>
        <w:rPr>
          <w:rFonts w:ascii="Calibri" w:eastAsia="Calibri" w:hAnsi="Calibri" w:cs="Calibri"/>
          <w:color w:val="000000"/>
          <w:sz w:val="22"/>
        </w:rPr>
        <w:t>, a lot of this information will also be pertinent for you to use when your organization comes to the point of closeout.</w:t>
      </w:r>
    </w:p>
    <w:p w14:paraId="24DC31D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With that being said, again, welcome. I think you've made a wise decision, because we're in some exciting times here at the Department of Labor. For some of you, who may be new to our organization and the way the Employment and Training Agency handles its grant awards and the closeout process, you will get an introduction to the new process in place. For those of you who are returning, you'll also get some insight and see some of the changes that have taken place to hopefully make this process more efficient.</w:t>
      </w:r>
    </w:p>
    <w:p w14:paraId="2E6FDBE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Just to bring you up to date, for the past 15 or 17 years, the Department of Labor has used our E-Grants, electronic grant awarding system, for the purposes of every aspect of our grant awards. We've now done away with that legacy program, and we've entered into a new era, where we've entered into a program that is geared towards using two different portals for our closeout process. One, which will be specifically geared towards our financial reporting, and the other aspect, which will be geared towards the actual grant closeout forms and sales.</w:t>
      </w:r>
    </w:p>
    <w:p w14:paraId="14549AA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That being said, with this presentation, we're going to introduce you to the closeout team. We're going to review the new closeout package forms and letters that we'll be using. We'll show you the timeframes associated with closeout document submission, review some of the Uniform Guidance, Code of Federal Regulations, citations, and as a warning, and I'm going to repeat certain things over and over just to drive the points home, because I think that repetition is key. Lastly, I like to stress communication, because I believe that's a universal solvent that will assist us in overcoming any issues that we may encounter on this journey of closeout.</w:t>
      </w:r>
    </w:p>
    <w:p w14:paraId="0CBE52D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With that being said, who we are? We are under the Employment and Training Administration's Office of Grants Management, in particular, Division of Resolution and Closeout, which is guided by our Division Chief Latonya </w:t>
      </w:r>
      <w:proofErr w:type="spellStart"/>
      <w:r>
        <w:rPr>
          <w:rFonts w:ascii="Calibri" w:eastAsia="Calibri" w:hAnsi="Calibri" w:cs="Calibri"/>
          <w:color w:val="000000"/>
          <w:sz w:val="22"/>
        </w:rPr>
        <w:t>Torrence</w:t>
      </w:r>
      <w:proofErr w:type="spellEnd"/>
      <w:r>
        <w:rPr>
          <w:rFonts w:ascii="Calibri" w:eastAsia="Calibri" w:hAnsi="Calibri" w:cs="Calibri"/>
          <w:color w:val="000000"/>
          <w:sz w:val="22"/>
        </w:rPr>
        <w:t>. The two units that operate hand-in-hand, our sister unit is the Audit Unit, which is under the leadership of Anita Robinson, grant officer and supervisor of that unit. Then, we had the Closeout &amp; Reporting Unit, which is led by Meron Assefa, the grant officer.</w:t>
      </w:r>
    </w:p>
    <w:p w14:paraId="7C7D99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am, again, as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said, a resolution specialist with the grant officer authorities, and I assist Meron Assefa in ensuring that we do everything in our power to efficiently close out all of our awards in a timely manner. The rest of the team consists of </w:t>
      </w:r>
      <w:proofErr w:type="spellStart"/>
      <w:r>
        <w:rPr>
          <w:rFonts w:ascii="Calibri" w:eastAsia="Calibri" w:hAnsi="Calibri" w:cs="Calibri"/>
          <w:color w:val="000000"/>
          <w:sz w:val="22"/>
        </w:rPr>
        <w:t>Artine</w:t>
      </w:r>
      <w:proofErr w:type="spellEnd"/>
      <w:r>
        <w:rPr>
          <w:rFonts w:ascii="Calibri" w:eastAsia="Calibri" w:hAnsi="Calibri" w:cs="Calibri"/>
          <w:color w:val="000000"/>
          <w:sz w:val="22"/>
        </w:rPr>
        <w:t xml:space="preserve"> Jones, Joe Matthew, Mary </w:t>
      </w:r>
      <w:proofErr w:type="spellStart"/>
      <w:r>
        <w:rPr>
          <w:rFonts w:ascii="Calibri" w:eastAsia="Calibri" w:hAnsi="Calibri" w:cs="Calibri"/>
          <w:color w:val="000000"/>
          <w:sz w:val="22"/>
        </w:rPr>
        <w:t>Oben</w:t>
      </w:r>
      <w:proofErr w:type="spellEnd"/>
      <w:r>
        <w:rPr>
          <w:rFonts w:ascii="Calibri" w:eastAsia="Calibri" w:hAnsi="Calibri" w:cs="Calibri"/>
          <w:color w:val="000000"/>
          <w:sz w:val="22"/>
        </w:rPr>
        <w:t xml:space="preserve">, Mark McEnery, Naomi Kimani, Charles Cox, and </w:t>
      </w:r>
      <w:proofErr w:type="spellStart"/>
      <w:r>
        <w:rPr>
          <w:rFonts w:ascii="Calibri" w:eastAsia="Calibri" w:hAnsi="Calibri" w:cs="Calibri"/>
          <w:color w:val="000000"/>
          <w:sz w:val="22"/>
        </w:rPr>
        <w:t>J'Zhane</w:t>
      </w:r>
      <w:proofErr w:type="spellEnd"/>
      <w:r>
        <w:rPr>
          <w:rFonts w:ascii="Calibri" w:eastAsia="Calibri" w:hAnsi="Calibri" w:cs="Calibri"/>
          <w:color w:val="000000"/>
          <w:sz w:val="22"/>
        </w:rPr>
        <w:t xml:space="preserve"> Dobson. Now, I listed every member of our team because I want you to understand that these individuals here are the individuals, the persons who are going to be your best friends once you enter the closeout process for the next 90 to 120 days, hopefully, only 120 days, these individuals will be your best friends to make sure that you navigate this closeout process in the best manner possible, with as few hiccups as possible.</w:t>
      </w:r>
    </w:p>
    <w:p w14:paraId="79715D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what you're looking at is a team that has well over 50 years of experience in total. Any one of these individuals, whichever one is assigned to assist your organization and navigating this process is well-equipped to answer all of your questions and, if not, to guide you to the proper parties to assist you in that manner.</w:t>
      </w:r>
    </w:p>
    <w:p w14:paraId="0D2293A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some of the items that we want to take a close look at are the Uniform Guidance, Code of Federal Regulations that pertain to the closeout process, and which gives us our general framework for this. We have on the screen 2 CFR 200.344, and that gives us the basis for the closeout process, and I just wanted to highlight something in particular with regards to this, because we stress that you do your own research, so you should make sure to familiarize yourself with all of these Code of Federal Regulations that are on this screen, because they will be the framework in which we handle the closeout of your organization's award.</w:t>
      </w:r>
    </w:p>
    <w:p w14:paraId="028657B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first one, 200.34, gives us the timeframe for submission of all required closeout documentation. Now, what we have here is, if you were to go to the website and look at the Code of Federal Regulations right now as it stands, you will see that you have 120 calendar days from the period of performance end date to submit all required closeout documentation. This is a revised version of the Uniform Guidance and it pertains to any awards that were issued after November of 2020.</w:t>
      </w:r>
    </w:p>
    <w:p w14:paraId="76E0B5B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your award was issued prior to November 2020, then you fall under one of the previous versions of that Uniform Guidance and, in this case, any award that was issued prior to November 2020 has 90 days to submit all required closeout documentation. So, I wanted to bring your attention to that to note. Again, if your award was issued prior to November 2020, you have 90 days to submit your closeout documentations. If your award was issued after November 2020, you have a total of 120 days.</w:t>
      </w:r>
    </w:p>
    <w:p w14:paraId="25A909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we look at 2 CFR 200.345, it gives us post-closeout adjustments and continuing responsibilities and it speaks to the fact that even though officially, on record, your award will be considered closed once you complete the closeout process, they are still certain responsibilities on your agency or your organization to ensure compliance with terms and conditions of your award and the Uniform Guidance themselves.</w:t>
      </w:r>
    </w:p>
    <w:p w14:paraId="60EABF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Some of those include the potential for the federal agency, the Department of Labor, if necessary, to disallow costs and recover funds based on a later audit or other review, the fact that, as a non-federal entity, your organization is responsible for returning any funds due based on later refund of expenditures or corrections, or perhaps an adjustment based off of a final indirect cost rate adjustment. They are continuing audit requirements that are placed upon your organization, property management and disposition requirements, and record retention requirements that you are still responsible for even after receiving confirmation from our agency that this award has been closed.</w:t>
      </w:r>
    </w:p>
    <w:p w14:paraId="28B9595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2 CFR 200.346 speaks to the collections of amounts due and essentially any funds that were paid to your organization that we determine you aren't entitled to or in excess of the amount that you are entitled to are to be returned to the federal government and they constitute a debt to the federal government. So, once you receive a demand letter, please note, based upon this regulation, you have 90 calendar days to return those funds or you may be subject to accrual of interest on any outstanding amounts as well as other actions that the agency can take to offset administratively to address reimbursing those funds that you're not entitled to.</w:t>
      </w:r>
    </w:p>
    <w:p w14:paraId="69A5482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Lastly, on the screen, we have 2 CFR 2900.15. This [inaudible 00:11:26] closeout additional guidance. This particular Code of Federal Regulation pertains to the Department of Labor in particular, and essentially what we're saying is that once your award reaches this period of performance end date, you are only allowed to liquidate obligations that have already been incurred prior to that period of performance end date. So, our awards are done on an approval basis. This means that you can liquidate for any accrued expenditures for goods or services that you received while the grant was active. At this time, once that period of performance end date is reached, you cannot incur any new obligations under our award.</w:t>
      </w:r>
    </w:p>
    <w:p w14:paraId="04CEE3E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last bullet point speaks to a point of concern for some grant recipients that they brought to our attention, but the reality is, as a grant recipient under this award, you cannot charge direct time for staff to work on closeout of an award, even though it's associated with our grant, this work more than likely is being done after the period of performance end date. So, you cannot direct charge staff time. So, if your organization hasn't thought to include this as maybe part of indirect cost pool for certain personnel that would be used to complete the documentation required to submit for closeout, just be mindful that you cannot charge directly to our awards any time spent by your staff to complete them. This will be a cost that your organization will have to shoulder.</w:t>
      </w:r>
    </w:p>
    <w:p w14:paraId="100AE56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Preparing for closeout. Again, this is, like I said, an exciting time for us. We don't know all that the future holds right now. Just as a point of interest, as your organization will [inaudible 00:13:34], want to make sure that whoever in your organization is going to be responsible for completing the closeout package documents. Make sure that they have access to the </w:t>
      </w:r>
      <w:proofErr w:type="spellStart"/>
      <w:r>
        <w:rPr>
          <w:rFonts w:ascii="Calibri" w:eastAsia="Calibri" w:hAnsi="Calibri" w:cs="Calibri"/>
          <w:color w:val="000000"/>
          <w:sz w:val="22"/>
        </w:rPr>
        <w:t>GrantSolution</w:t>
      </w:r>
      <w:proofErr w:type="spellEnd"/>
      <w:r>
        <w:rPr>
          <w:rFonts w:ascii="Calibri" w:eastAsia="Calibri" w:hAnsi="Calibri" w:cs="Calibri"/>
          <w:color w:val="000000"/>
          <w:sz w:val="22"/>
        </w:rPr>
        <w:t xml:space="preserve"> website, because it is through this website that you'll receive the notification that your award is expiring, the initial closeout notification, and where you will be able to access the closeout package documents.</w:t>
      </w:r>
    </w:p>
    <w:p w14:paraId="0D10306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Now, currently, because the system is new and we're trying to identify any kinks in the system that may occur, our specialists have been also issuing emails in addition to the notification that is received through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just to ensure that recipients are receiving the information, you want to make sure that whoever's responsible in your organization is checking inside the system to make sure that they have access to the notification and the closeout documents once their award reaches the period of performance end date.</w:t>
      </w:r>
    </w:p>
    <w:p w14:paraId="411DED4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Secondly, we've also identified that the sams.gov status of your organization must be current. So you want to make sure that while going through the closeout process, your unique entity identifier number is active in sams.gov. If not, this will cause issue with closeout and we won't be able to process your </w:t>
      </w:r>
      <w:r>
        <w:rPr>
          <w:rFonts w:ascii="Calibri" w:eastAsia="Calibri" w:hAnsi="Calibri" w:cs="Calibri"/>
          <w:color w:val="000000"/>
          <w:sz w:val="22"/>
        </w:rPr>
        <w:lastRenderedPageBreak/>
        <w:t>award until this matter is addressed. That's another step you want to do to work towards preparing for closeout.</w:t>
      </w:r>
    </w:p>
    <w:p w14:paraId="3423D0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Again, I say that we're going to be using two systems in this new form of closeout, where you once could go to E-Grants and submit your closeout package documents and your financial reports, we have now separated the process and the closeout document reports or the closeout package documents, they will be in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website. However, to submit your financial reports, and some of you may have received notification of this, because we just went live, your financial reports will now be submitted through the Health and Human Services Payment Management System portal. So, the financial reports are now submitted through the PMS system. You want to make sure that whichever staff are going to be responsible for submitting this documentation have an account established with the Payment Management System. If you already have an account established, then that person may just need to update their user access inside of the portal, which essentially will just mean that they now can... They will have to check that they want to be able to submit 9130 financial reports in the Payment Management System. These are items that you're going to want to address prior to reaching closeout.</w:t>
      </w:r>
    </w:p>
    <w:p w14:paraId="5D11CB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another point that's not on the screen, but I'll talk about it a little later, if you have subrecipients, you want to make sure that they provide you the data that you need to roll up into your reports that you have to submit to us in a timely manner. Since you have a 90-day window, you want to ensure that they provide that documentation to you prior to the expiration of your 90 or 120-day window. So, you may want to put your subrecipients on notice that they should submit the necessary documentation you need to complete your report, say, 45 days prior to your 90-day expiration of time to submit those reports.</w:t>
      </w:r>
    </w:p>
    <w:p w14:paraId="0EC4D6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 screen, what we have here is a copy of the very first letter that you should receive in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system. This is our initial closeout notification letter. This will come prior to your award expiring, and you should have access, again, in </w:t>
      </w:r>
      <w:proofErr w:type="spellStart"/>
      <w:r>
        <w:rPr>
          <w:rFonts w:ascii="Calibri" w:eastAsia="Calibri" w:hAnsi="Calibri" w:cs="Calibri"/>
          <w:color w:val="000000"/>
          <w:sz w:val="22"/>
        </w:rPr>
        <w:t>GrantSolution</w:t>
      </w:r>
      <w:proofErr w:type="spellEnd"/>
      <w:r>
        <w:rPr>
          <w:rFonts w:ascii="Calibri" w:eastAsia="Calibri" w:hAnsi="Calibri" w:cs="Calibri"/>
          <w:color w:val="000000"/>
          <w:sz w:val="22"/>
        </w:rPr>
        <w:t>, and I want to just draw your attention to certain points in this letter that are very important. That first paragraph, you want to make sure that you see the correct grant number listed as well as the correct expiration date.</w:t>
      </w:r>
    </w:p>
    <w:p w14:paraId="3069F5A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there's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issue with one of these items, please, reach out to the closeout specialist listed in this document to assist you with resolving whatever that issue may be. The middle paragraph in this letter, again, speaks to some of the continuing responsibilities and things that are required of your organization as well as the closeout requirements for submitting the closeout package documents in the timeframe allotted based on Uniform Guidance.</w:t>
      </w:r>
    </w:p>
    <w:p w14:paraId="6C02502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 third paragraph, again, highlights the fact that inside of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Grant Notes is where you identify the grant closeout package forms that you just submit for closeout. In addition, the access to the 9130, which must be done via the Payment Management System. One of the most important lines on this form is that last line, which identifies the grant specialist or the resolution specialist that will be assisting your organization to close out this award and it should provide their email and their phone number for contact purposes.</w:t>
      </w:r>
    </w:p>
    <w:p w14:paraId="2FCAAA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we have the 90 days after the period of performance end date. You must submit your final 9130 report. Now, this is for any award that has been issued prior to November '20. You fall under that 90-day timeframe that you have to submit all required closeout documentation, which includes the closeout package forms and the final financial report. The final financial report, which will be submitted in the Payment Management System is denoted as your final report based off of your checking final in box number six, or checking yes in box number six to the note that this will be the final financial report.</w:t>
      </w:r>
    </w:p>
    <w:p w14:paraId="0D0A868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in the past, those of you who have been with ETA and had awards prior, you know that we had the final quarterly 9130 report, and then we had a closeout 9130 report. In this case, the final report is now considered the closeout 9130 report. So, where you once had to submit that final 9130 report in a 45-</w:t>
      </w:r>
      <w:r>
        <w:rPr>
          <w:rFonts w:ascii="Calibri" w:eastAsia="Calibri" w:hAnsi="Calibri" w:cs="Calibri"/>
          <w:color w:val="000000"/>
          <w:sz w:val="22"/>
        </w:rPr>
        <w:lastRenderedPageBreak/>
        <w:t>day timeframe, and the closeout 9130 financial report in the 90-day timeframe, the final is now considered the closeout and must be submitted within the 90-day period.</w:t>
      </w:r>
    </w:p>
    <w:p w14:paraId="67D7CE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the second bullet point for any organization who has an award that was issued after the Uniform Guidance revision of November 2020, you have a total of 120 days to submit that final 9130, which is your closeout report, and the remaining closeout documentations. Again, as I said, we believe that communication is of the utmost value in assisting us to be as effective as possible. You will more than likely receive a follow-up reminder from your resolution specialist if they do not see your closeout package documents already in the system, just to keep you on point, so that you remain in compliance and don't run the risk of becoming considered non-compliant with submission of your closeout documentation.</w:t>
      </w:r>
    </w:p>
    <w:p w14:paraId="5D19B5B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We went over the closeout documents being submitted within the 90 to 120-day guideline based off of when your award was issued. That, again, is under the Uniform Guidance. Everything we do is in accord with statutes over our awards, any regulations that pertain to our awards, the terms and conditions of the actual grant agreement you signed, and any TEGLs or advisory information that's been put out by ETA to assist you in the active work that you've been doing on your award. All of this is under a certain authority, and that's what we pay attention to in the closeout process.</w:t>
      </w:r>
    </w:p>
    <w:p w14:paraId="3E5D875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what you see on the list, just giving you some insight, once we receive that documentation that you provide to us in the timeframe that you've been given, we now have a process that we must do internally and we have a certain framework that we have to adhere to. We're given one year, in accordance with our Department of Labor Manual Series 2, Chapter 800, which coincides with the Uniform Guidance, which also provides us one year to make sure that after we received all of your documentation, we do our part to make sure the award is closed out in a timely manner.</w:t>
      </w:r>
    </w:p>
    <w:p w14:paraId="251F29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a reminder, these last two points are brought up because the compliance issue is so important. If your organization does not submit the documentation in the required timeframe, for the most part, it's usually because of some outstanding issue that needs to be addressed. You want to communicate as soon as possible when you feel like you've encountered something that's a hindrance, because this third bullet says that if we don't close out this award within one year of the period of performance end date, based upon the OMB's integrity and performance system, which I believe is FAPIIS, I think that's the Federal Awardee Performance and Integrity Information System, we are to report any organizations that are not in compliance with the guidance that's been given. This is not a list that you want your organization to appear on.</w:t>
      </w:r>
    </w:p>
    <w:p w14:paraId="3785BD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last bullet point is for the GONE Act, which was instituted by Congress and requires us to also identify for a congressional report any agencies or entities who have an award that has not been closed out in a period that elapses two years beyond the period of performance end date. Now, a lot of things occur that can cause an award to remain open for a year or two </w:t>
      </w:r>
      <w:proofErr w:type="spellStart"/>
      <w:r>
        <w:rPr>
          <w:rFonts w:ascii="Calibri" w:eastAsia="Calibri" w:hAnsi="Calibri" w:cs="Calibri"/>
          <w:color w:val="000000"/>
          <w:sz w:val="22"/>
        </w:rPr>
        <w:t>years</w:t>
      </w:r>
      <w:proofErr w:type="spellEnd"/>
      <w:r>
        <w:rPr>
          <w:rFonts w:ascii="Calibri" w:eastAsia="Calibri" w:hAnsi="Calibri" w:cs="Calibri"/>
          <w:color w:val="000000"/>
          <w:sz w:val="22"/>
        </w:rPr>
        <w:t xml:space="preserve"> timeframe, but, again, a lot of those are for issues that if communication is kept up and whenever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issue is identified, brought to the attention of the specialists, our staff is more than capable of helping you to navigate what is the next steps in order to address that. Those two bullet points at the bottom of the screen are two reports that you don't want your agency or organization's name attached to, because it can have future consequences or impact future funding for your agency.</w:t>
      </w:r>
    </w:p>
    <w:p w14:paraId="20BFDAB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With this timeline here, again, just to reiterate, once your period of performance end date is reached, the closeout process begins. In this case, if your award has a period of performance end date of March 30th, 2023, that's day zero for the closeout process, and you now have 90 to 120 days to submit the remaining closeout documentation based off on when your award was issued. I'll skip the two middle points, because we spoke about it, again, one is awards issued prior to November 2020, and the </w:t>
      </w:r>
      <w:r>
        <w:rPr>
          <w:rFonts w:ascii="Calibri" w:eastAsia="Calibri" w:hAnsi="Calibri" w:cs="Calibri"/>
          <w:color w:val="000000"/>
          <w:sz w:val="22"/>
        </w:rPr>
        <w:lastRenderedPageBreak/>
        <w:t>other score awards issued post November 2020. That final bullet point speaks to draw down of funds that your organization may be entitled to.</w:t>
      </w:r>
    </w:p>
    <w:p w14:paraId="7B37084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once that period of performance end date is reached, your organization has 90 days to draw down funds which they may be entitled to. If you don't draw down those funds in that time, you will find on day 90 that account in PMS has been locked. If that occurs, don't be alarmed that you won't get funds that you believe you're entitled to. It's a necessary precaution that's been put in place to ensure that those accounts are not abused. So, what will happen if that you've reached that 90th day and, say, a vendor submitted an invoice so late and you weren't able to process it in a timely manner and it's day 91, we're not going to keep that money from you. However, what we want you to do is provide us some insight as to what caused this delay in the process that did not allow you to submit this request to draw down these additional funds in a timely manner.</w:t>
      </w:r>
    </w:p>
    <w:p w14:paraId="09449B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Once you do that, we will confer internally and provide notification to PMS to open that account up for you to draw down whatever specific dollar amount that you may be entitled to. This, again, it can be a hindrance but it's a necessary precaution for our purposes and just, again, so that you can avoid any unnecessary additional burdens. You want to be mindful, again, to speak to any of your subrecipients or vendors to get information to you as promptly as possible, so that there are no delays in getting payment to them.</w:t>
      </w:r>
    </w:p>
    <w:p w14:paraId="27FC27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our new revised closeout package. For those of you who are returning recipients, you'll know that, again, you used to have to submit the final quarterly 9130 financial report, and the closeout 9130 financial report. You had to submit the grantee's release, you had to submit the Assignment of Refunds, Rebates and Credits. You had to submit a grantee's tax certification, in addition to the documents that are on the screen. Now, we've simplified it as much as we've been able to. What's required now is the submission of the final quarterly 9130 report, which will be used for closeout purposes. If you charge indirect costs to our award, you'll be required to submit a negotiated indirect costs rate agreement, a federally-approved negotiated indirect costs rate agreement, and provide us with the breakdown of how the indirect costs were calculated and charged to our award. This will be done, the breakdown will be done on the final quarterly 9130 report.</w:t>
      </w:r>
    </w:p>
    <w:p w14:paraId="0F7C5A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You'll still be required to submit a grantee's detail statement of costs. You'll be required to submit a Government Property Inventory Certification, and based on your completion of that Property Inventory Certification will determine whether or not your organization needs to also provide a property listing form as well.</w:t>
      </w:r>
    </w:p>
    <w:p w14:paraId="30AC0D6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here we're going to touch on a few issues of compliance that could be red flags when you submit your closeout package document. Now, for the guidance that I've been given with regards to the Apprenticeship program, most of these, or half of them, you may not have to be concerned with, but, again, the closeout submission is at the top of the list, because you have that 90 to 120 days to submit all required closeout documentation in order to remain compliant. If you had an administrative requirement, which a lot of our ETA awards have, a limitation on the amount of administrative costs that can be charged under our award, you would just want to be mindful not to exceed that limit, that percentage or limitation that's placed on the award.</w:t>
      </w:r>
    </w:p>
    <w:p w14:paraId="5389F0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Case management, if, again, this was something that was pertaining to your award, which I don't believe it does, but I believe the match requirement is something that pertains to the Apprenticeship programs and I believe it's 35%. What you want to be mindful of is ensuring that your organization does everything in your power to attain that match or cost-sharing requirement, because if you reach closeout and this has not been met, the difference between what has been provided as match, and the actual match that was required will be considered cost for disallowance and we can disallow those costs dollar for dollar and request reimbursement for that unmet match.</w:t>
      </w:r>
    </w:p>
    <w:p w14:paraId="6DD828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Program income. I think that's under Uniform Guidance 200.307, and essentially what we're looking for, and it should be identified on the final 9130 report. If your organization has produced or generated program income using our award funds, we just want to make sure that you're showing that you spent those funds back on the program, and for I believe most of the Department of Labor awards, we work with the addition method for addressing program income.</w:t>
      </w:r>
    </w:p>
    <w:p w14:paraId="1890365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Compliance, indirect costs is another issue of compliance. Now, be mindful because some grant recipients get in trouble here. You are not allowed to charge indirect costs to our award, an ETA award, if you do not have a federally-approved indirect costs rate agreement or a cost allocation plan. Now, some entities are allowed to use what's known as the de minimis rate, and that is permissible. However, this is something that should have been identified when your grant was awarded that that was your intention to use the de minimis rate, so you don't want to get to closeout and, all of a sudden, identify indirect costs that you haven't made note of prior that you intended to charge indirect costs to our awards. This, again, falls under compliance. We will have to go into further discussion about this.</w:t>
      </w:r>
    </w:p>
    <w:p w14:paraId="6F80C1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Lastly, I have budget spending. Under budget spending, again, we stick to the regulations and under Uniform Guidance, I believe, 200.308, it speaks about budgets and revisions. Essentially, we are paying attention to what has been approved for your budget spending under our award, under certain cost categories. Now, under 2 CFR 200.308, there is some budget line on the flexibility that your organization is entitled to use.</w:t>
      </w:r>
    </w:p>
    <w:p w14:paraId="399C8EA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However, the reality is any deviations from the approved budget should have been identified and made sure that the federal awarding agency was aware of the deviation. But, again, under this </w:t>
      </w:r>
      <w:proofErr w:type="spellStart"/>
      <w:r>
        <w:rPr>
          <w:rFonts w:ascii="Calibri" w:eastAsia="Calibri" w:hAnsi="Calibri" w:cs="Calibri"/>
          <w:color w:val="000000"/>
          <w:sz w:val="22"/>
        </w:rPr>
        <w:t>Uniforme</w:t>
      </w:r>
      <w:proofErr w:type="spellEnd"/>
      <w:r>
        <w:rPr>
          <w:rFonts w:ascii="Calibri" w:eastAsia="Calibri" w:hAnsi="Calibri" w:cs="Calibri"/>
          <w:color w:val="000000"/>
          <w:sz w:val="22"/>
        </w:rPr>
        <w:t xml:space="preserve"> Guidance, if you reach closeout and you slightly overspent some cost categories, as long as you did not spend a total of 10% of the total budgeted amount cumulatively on any one of the or multiple cost categories, it won't cause you an issue. If you exceed that, then that becomes a problem that we'll have to address in closeout. For the most purposes, you want to handle any budget concerns, take a look at your budgets and if you look projection-wise, like you may be spending excessively in certain amounts and possibly going to go over, you just want to take note and you may want to reach out to your federal project officer and consider a budget modification.</w:t>
      </w:r>
    </w:p>
    <w:p w14:paraId="461918F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we're going to move on to some of the actual closeout documents that we'll be looking for when your award enters into the closeout phase. Most of you should be familiar with the 9130 financial reports. Again, for our purposes now, we do not require a closeout financial report. This final quarterly 9130 will be used as your closeout financial report. Again, you just want to make note in box number six final report, you want to click that yes, and that will now make this report be considered the closeout final report.</w:t>
      </w:r>
    </w:p>
    <w:p w14:paraId="4BE0CC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this, again, for those who've had awards with us in the past, you may have submitted your final quarterly 9130 report and because this is done on an accrual basis, you may have shown that the expenditures at this amount were in excess of the amount that you had actually drawn down from the Payment Management System. That was the use for the closeout report under the old E-Grant system. Now, using the new Payment Management System, this spinal quarterly report being your closeout report, you want to make sure that line 10a, cash receipts, 10b, cash disbursements, and 10e, federal share expenditures all equal the same amount. This is the last report, again, what you've drawn down and disbursed to your vendors or subrecipients should be in line with the total federal share of expenditures that you're saying are charged to this award.</w:t>
      </w:r>
    </w:p>
    <w:p w14:paraId="0A0A5B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Under 10, I believe, j, k and l. You'll see where we're looking for you to identify the recipient share that's required, the amount of recipient share that you actually provided to this particular award, and any balance if that recipient share or matched amount was not met, we want to see and that's going to be identified in that section. Right under that, you have the program income section where, again, we just </w:t>
      </w:r>
      <w:r>
        <w:rPr>
          <w:rFonts w:ascii="Calibri" w:eastAsia="Calibri" w:hAnsi="Calibri" w:cs="Calibri"/>
          <w:color w:val="000000"/>
          <w:sz w:val="22"/>
        </w:rPr>
        <w:lastRenderedPageBreak/>
        <w:t>want to see that if you have earned program income, you've also spent those funds right back on the program. I think the last point that I'll just identify while this document is up is section 13, indirect expenditures, and this is where you're going to provide us with the indirect cost rate that you used and the breakdown to identify the total amount of indirect costs that you charge to this award.</w:t>
      </w:r>
    </w:p>
    <w:p w14:paraId="4A611F1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this next slide, I've blown up this section, section 13. When you have a federally-approved indirect costs rate agreement, the information we're looking for you to report will tie to that agreement. We want to see the type of rate that you're using, whether that's a provisional rate, a final rate, a fixed rate. We want to know what rate is actually being used in this calculation. Then, in column b, we want to see the actual number. The percentage that you were awarded to use as the rate for this particular period. Section c, you see the rate, the approval date, so when the actual award, when the actual rate was approved, then we want to see the period of performance.</w:t>
      </w:r>
    </w:p>
    <w:p w14:paraId="0AF270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you can see, each year stands on its own, so you should have a rate for each year that you charge indirect costs to our award. And column e, we want to see the base you use. Again, the base should pertain to each year that those costs were charged to our award. Now, these last two columns, the amount charged and the federal share, the amount charged is simply going to be the rate times the base and it identifies the amount of indirect costs that could be charged to this award. The federal share may differ from the amount charged, because you may identify that you are entitled to charge a certain amount based off of the rate and base that you use.</w:t>
      </w:r>
    </w:p>
    <w:p w14:paraId="11CBF81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However, let's say you decided to charge less, or you decided to use less of what you could have charged to our award for the federal share. Let's say that the amount charged was 50,000, but you decided that you were only going to charge 25,000 as a federal share, you would put that 25,000 under the federal share amount. That way we know that this is the amount of indirect costs that you actually are charging directly to our award. That difference, you could then list it on that final quarterly report as leveraged resources. Again, the amount charged and federal share could be the same, or that could be a variance. It just depends on how your organization wants to be reimbursed for the indirect costs that they could charge to our award.</w:t>
      </w:r>
    </w:p>
    <w:p w14:paraId="58FA7A2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At the bottom of the screen, I said that if a revision is required, a resolution specialist will provide a template. At this time, I believe we decided that we no longer will be emailing a separate template, because you all will be allowed to make the adjustment on the final 9130 report, since that's now the closeout report. Again, you want to just make sure that you provide us the most accurate documentation you have at the moment, whether it's a provisional rate or fixed rate, you want to make sure it's documented on the 9130 final report.</w:t>
      </w:r>
    </w:p>
    <w:p w14:paraId="1C2E040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next slide just gives you an example of, on the left-hand side, a copy of a federally negotiated indirect costs rate agreement, and this is usually the cover page. You see that at the top it has the date that it was issued May 23rd, 2012. We see the organization that it was issued to, the type of rate, that's what we're looking for you to identify on the 9130, whether it's a final or provisional, the period that that rate pertains to, and the actual rate that was used for that period.</w:t>
      </w:r>
    </w:p>
    <w:p w14:paraId="2C5DB8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Then, you see the asterisk at the bottom, which says, "Base," you want to pay attention to the base that you've been approved to use for charging indirect costs to our awards. Some base are total direct, as this one says, excluding maybe capital expenditures, so a modified direct cost, I mean, a modified base. You could also have a base that may only be salary and fringe benefits. Whatever your base is on this agreement is the base you want to use when calculating the amount of indirect costs to charge to our award. Any variance from this, your resolution specialist will follow up with you to get clarity. And if it's determined that you charged indirect costs incorrectly to our award, these will be costs that are considered unallowable, and subject to disallowance.</w:t>
      </w:r>
    </w:p>
    <w:p w14:paraId="227B90D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On the right-hand side, we just have a copy of sometimes what we've requested or received from organizations that have used cost allocations plans, since they charge their indirect costs on a monthly basis. Sometimes, they'll give us a breakdown out of what occurred each month and then roll it up into a cumulative amount for each year and then put that amount for the year on the template that we used to provide. Other than that, I know sometimes they come with a schedule of expenditures, so you can provide us with the schedule of expenditures, which identifies the amount that your organization is permitted to charge to our award and those are all acceptable documentations.</w:t>
      </w:r>
    </w:p>
    <w:p w14:paraId="7970647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I want to say is keep in mind for the cost allocation plan, those usually get extensive. We don't want the full cost allocation plan provided to us. We want the letter, the approval letter, or copy, cover letter, and we also want to see, again, the expenditure amount. If it's a scheduled expenditures that has been identified. On the indirect costs rate agreement, we want to see the complete agreement, so we want to see this cover page, and then we want to see the following pages, including the page with the signatures on it for the agreement. That is what you will be required to submit as far as negotiating indirect costs rate agreement, we want to see the entire thing with the signatures.</w:t>
      </w:r>
    </w:p>
    <w:p w14:paraId="67CC0E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another one of the forms, the detailed statement of costs and it's fairly simple. We have that first column, which is the cost categories. This is based off of your SF-424A form, which is approved for the budget purposes. We want to see in that middle column the amounts that were approved on your most recent budget modification, so the approved grant budget amounts should correlate with those that were actually approved on that most recent budget modification. The last column is the actual cumulative costs. Here, we want to see what you actually spent based off of the cost categories that were provided. So, we have your budget amounts and your actual cumulative expenditures. We're looking to see to make sure that, again, you have not exceeded the 10% Budget Line Item Flexibility Clause of the Uniform Guidance. I think that's straightforward.</w:t>
      </w:r>
    </w:p>
    <w:p w14:paraId="1A492E2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I will say is these forms, you should be able to access them in your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notes section, and they should be PDF fillable. Now, we've had some experimentation just working to get the system up and running and some individuals say that, when they access the form, they weren't able to fill them out using the Adobe Acrobat system. If that's so, I would just say you can download, print out the forms, and complete them, and then upload them back to the system or you could reach out to your resolution specialist and they may be able to email you a copy of a PDF fillable document.</w:t>
      </w:r>
    </w:p>
    <w:p w14:paraId="047CDC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the compliance budget 424A form. I'm not going to spend a lot of time on it, but essentially the cost categories and the budget amounts that were approved is what we're looking to see on your grantee's detailed statement of costs. This is the budget 424A form. That's what I'm speaking on. Again, we just want to see that those amounts that were approved, they are identified in the budget column. We want to see those in relation to the cumulative expenditure amounts.</w:t>
      </w:r>
    </w:p>
    <w:p w14:paraId="45193D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with regards to the budget, if you reach the point of closeout and based off of the documentation you submit, we identified that you have exceeded the 10% Budget Line Item Flexibility, there are two options. The first is the amount in excess of the 10% Budget Line Item Flexibility is considered unallowable costs and will be subject to disallowance. The second is, you can provide us with, you can request a budget realignment. And in closeout, the budget realignment is not a budget modification. However, it's your organization's opportunity to present us with justification as to the reason for the overage, how much of the overage there is in the budget realignment that you're requesting. You provide this information to your federal project officer and your resolution specialist. We will then review this information, confer with the federal project officer, and we will make a final determination as to whether or not we approve your budget realignment request or if we disapprove it.</w:t>
      </w:r>
    </w:p>
    <w:p w14:paraId="74653CD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Keep in mind, the federal project officer at this point does not have the authority to approve, or the grant officer that was over the award does not have the authority to approve a budget realignment once </w:t>
      </w:r>
      <w:r>
        <w:rPr>
          <w:rFonts w:ascii="Calibri" w:eastAsia="Calibri" w:hAnsi="Calibri" w:cs="Calibri"/>
          <w:color w:val="000000"/>
          <w:sz w:val="22"/>
        </w:rPr>
        <w:lastRenderedPageBreak/>
        <w:t>it's in closeout, that relies with the closeout grant officers, and we'll make that decision internally based off of the justification that you've submitted.</w:t>
      </w:r>
    </w:p>
    <w:p w14:paraId="6ADCBE2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again, we will confer with the FPO to get some kind of understanding as to the reasonableness of your request, and whether or not that request would've been approved while the grant was still active. The best thing I can say is to ensure to do this or request the change to your budget while the grant is active. Once you get the closeout, there's no guarantee that this realignment request will be approved. We will use it to document the file moving forward as to whether or not we approve or disapprove of your request.</w:t>
      </w:r>
    </w:p>
    <w:p w14:paraId="3176DBB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Another form in the closeout package that all non-federal entities or grant recipients must complete is the government property certification form. This is another PDF fillable form. It's very straightforward. We have two areas that we want you to identify to us whether or not you took the federal award funds and purchased any property or, in this matter, equipment which hits the definition of having a fair market value of $5,000 or greater and a useful life of one year or more. So, whether it's real property or equipment, we want you to identify if you have equipment that meets that definition that you purchase with these federal funds, we want you to mark yes or no. If you mark yes, then you will be required to also complete the property listing form.</w:t>
      </w:r>
    </w:p>
    <w:p w14:paraId="37D7F2B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property listing form will give us some necessary data on what you acquired with those grant funds. We want to have the item description, we want a serial number, we want the acquisition date, the purchase price. We want to know the current fair market value. Please note that if what you purchased the equipment or property for met the definition of 5,000 or greater at that time of acquisition, but now while you're at the point of closeout, if the fair market value is less than 5,000, you do not need to report that as property. Only if it meets that definition of $5,000 a greater per unit and having a useful life of one year or more.</w:t>
      </w:r>
    </w:p>
    <w:p w14:paraId="728649C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with that, we also want to know the condition of the property, but we want to know if it's in good condition, bad condition, exactly what condition that property is in. The last, I'd say, five columns to the right gives us insight as to how you intend to continue using this property after this period of performance has ended. So, do you want to retain it for the same current grant purpose that you originally purchased it for? Do you want to retain it for some other federal responsive program that the equipment can be used for? Do you want to retain it for a non-federal use? Or has it reached a point where it's no longer has any real value and it needs to be sold or scrapped? Depending on what you highlight as to your intended or continued use of that particular item will determine what type of disposition instructions we provide to your organization.</w:t>
      </w:r>
    </w:p>
    <w:p w14:paraId="24C8B9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after getting all those documents in, hopefully, everything's in order. We've reviewed them. They're good to go. We don't have any further questions. We can close this award. Oh, I apologize. No, this letter right here is, if we reviewed the documentation and, say, something's outstanding or, say, you haven't submitted in that 90 to 100-day period, this is the letter that you don't want to receive. The closeout non-submittal letter. If you receive this, this is telling you that you still have work to do. This will provide you an additional, I believe, it says 15 days, but we revised this to five days, because of the extended period of submission of 120 days.</w:t>
      </w:r>
    </w:p>
    <w:p w14:paraId="437D45C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this is in line with the same concept as to when your award was issued. If it was issued prior to November 2020, you'll have 15 days to submit any additional documentation that's required. If you have an award that's issued after that November 2020 date, then you now have five additional days once you received this notification that, "Hey, you haven't submitted something that's required," maybe you submitted the property certification form and you forgot to check mark one of the boxes. It can be something as simple as that. You'll receive a notification. We need you to address that issue as promptly as possible and submit it to us so that we can continue processing your award's closeout.</w:t>
      </w:r>
    </w:p>
    <w:p w14:paraId="37EA1D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Please, keep in mind that under 2 CFR 200.339, it provides us remedies for non-compliance. This is not something that we want to have to do, but if for whatever reason we're required to, we will ensure that you become in compliance with the terms and conditions of your award. We just want to help. So, we're going to do everything in our power to ensure that you or your organization has been successful in completing this closeout process. If you've gotten this far, you've probably been successful in the actual operation of the award itself and had some great results. We don't want you to get hung up at closeout, so we are here to assist you.</w:t>
      </w:r>
    </w:p>
    <w:p w14:paraId="2B6D87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Now, this is the letter. This is the bread and butter right here, the closeout final letter. This lets you know that you've done everything that was required of you for the closeout process. We've reviewed your documentation, everything's in order. We have submitted it for closeout. Once we've done this internally, you should receive this letter again through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web portal. Again, what it highlights is, even though your award is closed, as we spoke about prior in the presentation, you still have certain requirements on your organization under 2 CFR 200.345, the post-closeout adjustments and continuing responsibilities.</w:t>
      </w:r>
    </w:p>
    <w:p w14:paraId="23E60A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Common misunderstandings, again, similar to the property certification form and maybe not check-marking the proper box, some recipients have been under the understanding that once they click the yes on the 9130 report, that triggers the closeout process, that's not correct. Essentially, your closeout process begins once that period of performance end date has been reached. You are now on the closeout clock. Please, be mindful, once that period of performance end date, you're in the closeout process.</w:t>
      </w:r>
    </w:p>
    <w:p w14:paraId="4B1A9C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Indirect costs can only be charged with an approved rate agreement. That's, again, just to be reiterated. If you do not have a federally-approved indirect costs rate agreement or a cost allocation plan, you are not permitted to charge indirect costs to our awards, and if you do that, by the time you reach closeout, you'll receive notification from a resolution specialist that these costs are considered unallowable and will be subject to disallowance.</w:t>
      </w:r>
    </w:p>
    <w:p w14:paraId="56ED40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Be mindful, if you do have an indirect costs rate agreement, know that we can close your award using provisional rates. So, you don't have to wait until your final rates come in in order to submit your closeout documents. Don't let that be a hold up. Submit those documents in a timely manner and we can close with the provisional rates. Again, once an award is closed, the same way that you have continuing responsibilities, we also have continuing responsibilities to you as well. And if you come back and show us a final rate that's in excess to the provisional rate we closed on, as long as those funds are still available in the Payment Management System, your organization is entitled to draw those funds down. You'll just have to submit the documentation to us and we will request that they open those accounts, so you can get any funds that you are continued or entitled to.</w:t>
      </w:r>
    </w:p>
    <w:p w14:paraId="66D608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Issues which delay closeout. Again, communication is the most important thing. I think, from my experience in closeout, most of the issues we've had, which have delayed our ability to close an award within the one-year timeframe, and have things dragged out to two years or more, which it's been a while, but most of that was based off of a lack of communication between the grant recipient and our federal personnel. Refunds, not so much an issue anymore. They used to be in the past when we used to accept paper checks, we no longer accept those. Any refunds you get, you can send them back through the payment management system account in which you were drawing those funds down, or they also have Pay.gov web portal, where you're able to submit any refunds that your organization has funds that has been determined not entitled to, and you need to return those back to the federal government.</w:t>
      </w:r>
    </w:p>
    <w:p w14:paraId="3C0696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Equipment disposition, again, based off of those five columns to indicate how you intend to continue to use any equipment that you have purchased with award dollars, they will determine the instructions that we provide you on how to use that or what can be done with that equipment as far as disposal or </w:t>
      </w:r>
      <w:r>
        <w:rPr>
          <w:rFonts w:ascii="Calibri" w:eastAsia="Calibri" w:hAnsi="Calibri" w:cs="Calibri"/>
          <w:color w:val="000000"/>
          <w:sz w:val="22"/>
        </w:rPr>
        <w:lastRenderedPageBreak/>
        <w:t>continued use. Again, the quicker you get to us, your desire to use or continue using that, the quicker we can get you information on how to handle it moving forward. 9130 issues, I will say, under the new system, I'm not sure of how much this is going to continue to be a concern. This was more of a concern when in the E-Grants we had the final 9130 report and the closeout 9130 report. However, now, since the final 9130 is the closeout 9130 in the Payment Management System, hopefully the 9130 issues can be resolved.</w:t>
      </w:r>
    </w:p>
    <w:p w14:paraId="63D408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already spoke to indirect cost issues. Again, we just want to make sure you have an agreement in place and you want to make sure that you're using the correct rates and base for each year individually. And question and disallowed costs. If there's anything that rises to that level, where we have to question and disallow costs, that is a process that draws out to where we have to issue a determination, allow you an opportunity to respond, and then issue a final determination. Lastly, I put the budget realignments. Again, it's best to handle that upfront while your award is still active, because once it reaches the point of closeout, there's not a guarantee that any realignment request will be approved.</w:t>
      </w:r>
    </w:p>
    <w:p w14:paraId="5851EC7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I just spoke to the refunds. I will say, again, as we spoke about continuing responsibilities, just because we close out the grant award does not alleviate you as the recipient of your obligation to return any funds back to the federal government. Please, note that once you receive a demand letter that constitutes... Well, once it's determined that you have funds that you're not entitled to, that constitutes a federal debt. Just be mindful of that. Once you receive the demand letter, you then have 90 days to submit those funds promptly before interest or additional action will be taken.</w:t>
      </w:r>
    </w:p>
    <w:p w14:paraId="59E893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 receive a refund prior to completion of your closeout package, you may need to revise, or you will have to revise that expenditure report and resubmit the closeout documents. The other side of that is, if we close your award and then you receive a fund, a refund, or identify some other correction where funds are due back to us, you do not have to go back and resubmit a closed report, but we won't open a closeout that has already been closed. You want to make sure that you make those notes in your internal accounting records and, again, when you submit the refund, you just want to make sure that you identify the reason for the refund and the award that it is associated with.</w:t>
      </w:r>
    </w:p>
    <w:p w14:paraId="4A66D7A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Lastly, again, your refunds can be done electrically through the Payment Management System that you were using to draw down funds, or if that option is no longer available, you can always use the Pay.gov portal to resubmit any refunds.</w:t>
      </w:r>
    </w:p>
    <w:p w14:paraId="666CA2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just quick recap, the closeout begins once the award expires. The 9130 financial report will now be submitted via the Payment Management System. Closeout package documents will be submitted via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The final 9130 financial report based off of when your award was issued. If it was issued after November 2020, you have 120 days to submit that financial report and all closeout documents. And if it was submitted prior to November 2020, you have the 90-day timeframe to submit the financial report and all closeout related documents.</w:t>
      </w:r>
    </w:p>
    <w:p w14:paraId="70B21A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When's the last time that you can draw down funds? Again, you have 90 days from that period of performance end date to draw down funds before the account is locked. Now, maybe last time isn't the most accurate way to frame that, because if they're funds that your organization is entitled to and we determine that it's entitled an award that these were allowable costs, we will permit you to get those funds. You will just have to provide us with requests for a late drawdown, provide us some background information as to why the drawdown is occurring so late, and then what steps will you all implement as an organization to ensure that this is done more in a timely manner in the future.</w:t>
      </w:r>
    </w:p>
    <w:p w14:paraId="7BC20F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Be mindful on that final 9130 financial report. Again, lines 10a, the cash receipts, 10b, cash disbursements, and 10e, federal expenditures should all equal the same amount. That's your last report. So, even though we are reporting on an accrual basis for Department of Labor awards, cash receipts, disbursements and expenditures must be equal or reconciled once we reach this end of the closeout </w:t>
      </w:r>
      <w:r>
        <w:rPr>
          <w:rFonts w:ascii="Calibri" w:eastAsia="Calibri" w:hAnsi="Calibri" w:cs="Calibri"/>
          <w:color w:val="000000"/>
          <w:sz w:val="22"/>
        </w:rPr>
        <w:lastRenderedPageBreak/>
        <w:t>process. There will be no additional closeout reports to submit after that final 9130 financial report. That is the closeout now.</w:t>
      </w:r>
    </w:p>
    <w:p w14:paraId="5EE09A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I spoke to completing the equipment form correctly. You just want to make sure you're mindful of that. All required forms and documents must be submitted, in order to be considered compliant with submission of the closeout package. That's the financial report. That's the closeout package documents. If you have an indirect costs rate agreement, that includes indirect costs rate agreement.</w:t>
      </w:r>
    </w:p>
    <w:p w14:paraId="698840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Lastly, you want to be on the lookout for those three notification letters. Hopefully, you only receive two. Hopefully, you only received the closeout initial letter and the closeout final letter. If you receive the non-submittal letter, then you know you have not done everything that is required of your organization. So, be on the lookout for those three letters and they will be coming through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module. I think with that I'm done. I hope this was [inaudible 01:02:20]. I hope I didn't go too fast.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back to you.</w:t>
      </w:r>
    </w:p>
    <w:p w14:paraId="2B106B1C"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2FE9CB1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Avery, so much for talking for an hour. A lot of information. We have a lot of questions that have come in that I hope you're willing to answer for us. I'm giving you a minute, well, 30 seconds to take a breath, deep breath and I'll ask the questions. We appreciate the time that you took to go through all of this information. The first question is from Jessica, "How do we find out who from the Office of Grants Management that has been assigned to help us close out our grant?" Is the question.</w:t>
      </w:r>
    </w:p>
    <w:p w14:paraId="37211AD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0C1013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a very good question. Through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portal, which is where the closeout documents, the grantee's detail statement of costs, and the property certification form, that's where you'll get the initial notification letter. And that initial notification letter, at the very bottom, that last line will tell you who the closeout specialist is, their telephone number and their email address. Outside of that, if you want to, say, that for whatever reason you don't see that information, which should be there, reach out to your federal project officer and they will contact the Closeout Unit and we will make sure that we identify who is the specialist and have them reach out to you directly. I hope that answers the question.</w:t>
      </w:r>
    </w:p>
    <w:p w14:paraId="5FD4B447"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7E14FDF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thank you, Avery. The next question is from Kathy, "Is it true that all financial closeout reports are submitted via PMS, and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is just for non-financial closeout reports?"</w:t>
      </w:r>
    </w:p>
    <w:p w14:paraId="065F64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14A4A9B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ma'am. Moving forward, the Payment Management System is the system that ETA is using for our financial reports.</w:t>
      </w:r>
    </w:p>
    <w:p w14:paraId="0C10A06A"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74E6B36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thank you, Avery. The next question is, "If we submitted our NICRA when we applied for the grant and it hasn't changed, do we need to resubmit those documents at closeout?"</w:t>
      </w:r>
    </w:p>
    <w:p w14:paraId="517E9A9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00FE6B7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if you submitted, if I understand that correctly, say, you already have your negotiated indirect costs rate agreement in place and you provided it with your documentation submitted when the award was initially issued, award for the organization, it should be in the system, it should be in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It </w:t>
      </w:r>
      <w:r>
        <w:rPr>
          <w:rFonts w:ascii="Calibri" w:eastAsia="Calibri" w:hAnsi="Calibri" w:cs="Calibri"/>
          <w:color w:val="000000"/>
          <w:sz w:val="22"/>
        </w:rPr>
        <w:lastRenderedPageBreak/>
        <w:t xml:space="preserve">should have transferred over. Mind you, depending on this process that we're still working through with this new system, all the documentation from our legacy E-Grants system should have been [inaudible 01:05:07] over to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I'm not going to say that 100% it's happened 100%. So, I would recommend submitting a copy of the report to the closeout specialist once it's identified who's going to be working with your organization.</w:t>
      </w:r>
    </w:p>
    <w:p w14:paraId="3B6D02A1"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600AAA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Great, thank you. I think the question about how to access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was answered in the Q&amp;A portion. Let me move on to the next one. If not, then I can go back to that one. The next question is, "If our period of performance for our grant is set to end 4/30/23, when should we be receiving the closeout letter?"</w:t>
      </w:r>
    </w:p>
    <w:p w14:paraId="144AA7F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0F19D4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it expires 4/30/2023, I would say, in the past, we've always striven to strive to make sure that the notification has gone out usually a week in advance. So, I would say seven days out from that, so maybe 4/23/23, you should be looking into the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portal to see if you see that notification that the initial letter's been issued and you have access to the closeout documents themselves. So, I'd say within the seven-day period of your period of performance end date.</w:t>
      </w:r>
    </w:p>
    <w:p w14:paraId="6D0630F6"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219141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great. Thank you, Avery. Next question is, "Is there additional documentation needed for the match funds?"</w:t>
      </w:r>
    </w:p>
    <w:p w14:paraId="5C96602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0FF40D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Is there additional documentation needed for the match funds? I would say, in closeout, we're not going to request that you submit the documentation for documenting your match funds, unless there's an issue that's been reported. Now, if you've submitted all of your quarterly financial reports and no match has been identified, and then all of a sudden on the final you retain the full 35%, that could be a flag. In that case, there may be the request for clarity as to why it wasn't reported previously or justification to say that now you've met that amount. But for the most part, if you've been documenting along the way, by the time you get to close out, we're not going to ask you to submit all of the documentation to prove those match costs.</w:t>
      </w:r>
    </w:p>
    <w:p w14:paraId="20B37367"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1F5EEC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Thank you, Avery. In case everyone did not see the answer to this question about how do you get access to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The response was that you have to register with </w:t>
      </w:r>
      <w:proofErr w:type="spellStart"/>
      <w:r>
        <w:rPr>
          <w:rFonts w:ascii="Calibri" w:eastAsia="Calibri" w:hAnsi="Calibri" w:cs="Calibri"/>
          <w:color w:val="000000"/>
          <w:sz w:val="22"/>
        </w:rPr>
        <w:t>GrantSolutions</w:t>
      </w:r>
      <w:proofErr w:type="spellEnd"/>
      <w:r>
        <w:rPr>
          <w:rFonts w:ascii="Calibri" w:eastAsia="Calibri" w:hAnsi="Calibri" w:cs="Calibri"/>
          <w:color w:val="000000"/>
          <w:sz w:val="22"/>
        </w:rPr>
        <w:t xml:space="preserve"> system, which is grantsolutions.gov to get access, and the closeout specialist will send the closeout forms through the regular mail as a second option.</w:t>
      </w:r>
    </w:p>
    <w:p w14:paraId="179EA39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3BF6E9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and emails.</w:t>
      </w:r>
    </w:p>
    <w:p w14:paraId="0A580BC5"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6EC828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[inaudible 01:08:25]. Email, I'm sorry, as a second option. The next question I have is, "If we had a grant no-cost extension, when does the closeout period start?"</w:t>
      </w:r>
    </w:p>
    <w:p w14:paraId="0FD349E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Avery Malone:</w:t>
      </w:r>
    </w:p>
    <w:p w14:paraId="37C7B4C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a grant and no-cost extension, then whatever your new period of performance end date is, is what closeout will work off of. So, if it's been extended another year, then we're going to hold off closeout until that new period of performance end date has been reached.</w:t>
      </w:r>
    </w:p>
    <w:p w14:paraId="036F3287"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5BF21EA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The next question was actually posed to me as to whether or not there's going to be a presentation like this on the programmatic side of the Scaling Apprenticeship grant program. The answer to that is yes. We started doing that when we did the wrap-up webinar about a month ago, I believe. But we will certainly do a webinar that will cover what your requirements are on the programmatic side of things, which is mostly related to the poorly narrative report on your QPR submissions and your final report. So, we will be having sessions in the coming months that will provide information on that.</w:t>
      </w:r>
    </w:p>
    <w:p w14:paraId="728F2D6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Having said that, I don't think there are any other questions in the chat. If that is the case, I want to say thank you, again, Avery, for your time, your energy, for talking for an entire hour and answering all our questions. We appreciate it. Thank you for everyone for attending, and I hope you found this helpful. As I mentioned earlier, the recording and the slides will be on WorkforceGPS, on the Scaling Apprenticeship WorkforceGPS site. We hope you find all of that information useful. I hope everyone has a great rest of the day. Thank you again, Avery. I appreciate it.</w:t>
      </w:r>
    </w:p>
    <w:p w14:paraId="79CCE95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Avery Malone:</w:t>
      </w:r>
    </w:p>
    <w:p w14:paraId="45204E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thank you for reaching out to your team, </w:t>
      </w: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We appreciate the opportunity to present to the grant recipients, because the more they're informed, the better it helps us to do our work. I ask that whatever insight that you get from this, if you could please share it with our office, because I thought about including the slide with regards to the grantsolutions.gov, this a new system, so we're still trying to work around it. Any ideas, any input you can provide us that would help us to better assist your recipients, just let us know. Thank you.</w:t>
      </w:r>
    </w:p>
    <w:p w14:paraId="037FB27D"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Zodie</w:t>
      </w:r>
      <w:proofErr w:type="spellEnd"/>
      <w:r>
        <w:rPr>
          <w:rFonts w:ascii="Calibri" w:eastAsia="Calibri" w:hAnsi="Calibri" w:cs="Calibri"/>
          <w:color w:val="000000"/>
          <w:sz w:val="22"/>
        </w:rPr>
        <w:t xml:space="preserve"> Makonnen:</w:t>
      </w:r>
    </w:p>
    <w:p w14:paraId="54EF0C3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Have a good day, everyone.</w:t>
      </w:r>
    </w:p>
    <w:p w14:paraId="71B4C3FD" w14:textId="77777777" w:rsidR="00A77B3E" w:rsidRDefault="00A77B3E">
      <w:pPr>
        <w:spacing w:before="80"/>
        <w:rPr>
          <w:rFonts w:ascii="Calibri" w:eastAsia="Calibri" w:hAnsi="Calibri" w:cs="Calibri"/>
          <w:color w:val="000000"/>
          <w:sz w:val="22"/>
        </w:rPr>
      </w:pPr>
    </w:p>
    <w:sectPr w:rsidR="00A77B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6F53" w14:textId="77777777" w:rsidR="005E562C" w:rsidRDefault="005E562C">
      <w:r>
        <w:separator/>
      </w:r>
    </w:p>
  </w:endnote>
  <w:endnote w:type="continuationSeparator" w:id="0">
    <w:p w14:paraId="2C6CC938" w14:textId="77777777" w:rsidR="005E562C" w:rsidRDefault="005E5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4C280" w14:textId="77777777" w:rsidR="00AB092A" w:rsidRDefault="00AB09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DC2A4B" w:rsidRPr="00AB092A" w14:paraId="6E901B6F" w14:textId="77777777">
      <w:tc>
        <w:tcPr>
          <w:tcW w:w="4000" w:type="pct"/>
          <w:tcBorders>
            <w:top w:val="nil"/>
            <w:left w:val="nil"/>
            <w:bottom w:val="nil"/>
            <w:right w:val="nil"/>
          </w:tcBorders>
          <w:noWrap/>
        </w:tcPr>
        <w:p w14:paraId="6A0E0EE4" w14:textId="77777777" w:rsidR="00DC2A4B" w:rsidRPr="00AB092A" w:rsidRDefault="00000000">
          <w:pPr>
            <w:rPr>
              <w:rFonts w:asciiTheme="minorHAnsi" w:hAnsiTheme="minorHAnsi" w:cstheme="minorHAnsi"/>
              <w:sz w:val="20"/>
              <w:szCs w:val="20"/>
            </w:rPr>
          </w:pPr>
          <w:r w:rsidRPr="00AB092A">
            <w:rPr>
              <w:rFonts w:asciiTheme="minorHAnsi" w:hAnsiTheme="minorHAnsi" w:cstheme="minorHAnsi"/>
              <w:sz w:val="20"/>
              <w:szCs w:val="20"/>
            </w:rPr>
            <w:t xml:space="preserve">040623 Closing </w:t>
          </w:r>
          <w:proofErr w:type="spellStart"/>
          <w:r w:rsidRPr="00AB092A">
            <w:rPr>
              <w:rFonts w:asciiTheme="minorHAnsi" w:hAnsiTheme="minorHAnsi" w:cstheme="minorHAnsi"/>
              <w:sz w:val="20"/>
              <w:szCs w:val="20"/>
            </w:rPr>
            <w:t>DoL</w:t>
          </w:r>
          <w:proofErr w:type="spellEnd"/>
          <w:r w:rsidRPr="00AB092A">
            <w:rPr>
              <w:rFonts w:asciiTheme="minorHAnsi" w:hAnsiTheme="minorHAnsi" w:cstheme="minorHAnsi"/>
              <w:sz w:val="20"/>
              <w:szCs w:val="20"/>
            </w:rPr>
            <w:t xml:space="preserve"> Grant (Completed  04/07/23)</w:t>
          </w:r>
        </w:p>
        <w:p w14:paraId="385E3EC9" w14:textId="77777777" w:rsidR="00DC2A4B" w:rsidRPr="00AB092A" w:rsidRDefault="00000000">
          <w:pPr>
            <w:rPr>
              <w:rFonts w:asciiTheme="minorHAnsi" w:hAnsiTheme="minorHAnsi" w:cstheme="minorHAnsi"/>
              <w:sz w:val="20"/>
              <w:szCs w:val="20"/>
            </w:rPr>
          </w:pPr>
          <w:r w:rsidRPr="00AB092A">
            <w:rPr>
              <w:rFonts w:asciiTheme="minorHAnsi" w:hAnsiTheme="minorHAnsi" w:cstheme="minorHAnsi"/>
              <w:sz w:val="20"/>
              <w:szCs w:val="20"/>
            </w:rPr>
            <w:t xml:space="preserve">Transcript by </w:t>
          </w:r>
          <w:hyperlink r:id="rId1" w:history="1">
            <w:r w:rsidRPr="00AB092A">
              <w:rPr>
                <w:rFonts w:asciiTheme="minorHAnsi" w:hAnsiTheme="minorHAnsi" w:cstheme="minorHAnsi"/>
                <w:color w:val="0000FF"/>
                <w:sz w:val="20"/>
                <w:szCs w:val="20"/>
                <w:u w:val="single"/>
              </w:rPr>
              <w:t>Rev.com</w:t>
            </w:r>
          </w:hyperlink>
        </w:p>
      </w:tc>
      <w:tc>
        <w:tcPr>
          <w:tcW w:w="1000" w:type="pct"/>
          <w:tcBorders>
            <w:top w:val="nil"/>
            <w:left w:val="nil"/>
            <w:bottom w:val="nil"/>
            <w:right w:val="nil"/>
          </w:tcBorders>
          <w:noWrap/>
        </w:tcPr>
        <w:p w14:paraId="129B6576" w14:textId="77777777" w:rsidR="00DC2A4B" w:rsidRPr="00AB092A" w:rsidRDefault="00000000">
          <w:pPr>
            <w:jc w:val="right"/>
            <w:rPr>
              <w:rFonts w:asciiTheme="minorHAnsi" w:hAnsiTheme="minorHAnsi" w:cstheme="minorHAnsi"/>
              <w:sz w:val="20"/>
              <w:szCs w:val="20"/>
            </w:rPr>
          </w:pPr>
          <w:r w:rsidRPr="00AB092A">
            <w:rPr>
              <w:rFonts w:asciiTheme="minorHAnsi" w:hAnsiTheme="minorHAnsi" w:cstheme="minorHAnsi"/>
              <w:sz w:val="20"/>
              <w:szCs w:val="20"/>
            </w:rPr>
            <w:t xml:space="preserve">Page </w:t>
          </w:r>
          <w:r w:rsidRPr="00AB092A">
            <w:rPr>
              <w:rFonts w:asciiTheme="minorHAnsi" w:hAnsiTheme="minorHAnsi" w:cstheme="minorHAnsi"/>
              <w:sz w:val="20"/>
              <w:szCs w:val="20"/>
            </w:rPr>
            <w:fldChar w:fldCharType="begin"/>
          </w:r>
          <w:r w:rsidRPr="00AB092A">
            <w:rPr>
              <w:rFonts w:asciiTheme="minorHAnsi" w:hAnsiTheme="minorHAnsi" w:cstheme="minorHAnsi"/>
              <w:sz w:val="20"/>
              <w:szCs w:val="20"/>
            </w:rPr>
            <w:instrText>PAGE</w:instrText>
          </w:r>
          <w:r w:rsidRPr="00AB092A">
            <w:rPr>
              <w:rFonts w:asciiTheme="minorHAnsi" w:hAnsiTheme="minorHAnsi" w:cstheme="minorHAnsi"/>
              <w:sz w:val="20"/>
              <w:szCs w:val="20"/>
            </w:rPr>
            <w:fldChar w:fldCharType="separate"/>
          </w:r>
          <w:r w:rsidR="00AB092A" w:rsidRPr="00AB092A">
            <w:rPr>
              <w:rFonts w:asciiTheme="minorHAnsi" w:hAnsiTheme="minorHAnsi" w:cstheme="minorHAnsi"/>
              <w:noProof/>
              <w:sz w:val="20"/>
              <w:szCs w:val="20"/>
            </w:rPr>
            <w:t>1</w:t>
          </w:r>
          <w:r w:rsidRPr="00AB092A">
            <w:rPr>
              <w:rFonts w:asciiTheme="minorHAnsi" w:hAnsiTheme="minorHAnsi" w:cstheme="minorHAnsi"/>
              <w:sz w:val="20"/>
              <w:szCs w:val="20"/>
            </w:rPr>
            <w:fldChar w:fldCharType="end"/>
          </w:r>
          <w:r w:rsidRPr="00AB092A">
            <w:rPr>
              <w:rFonts w:asciiTheme="minorHAnsi" w:hAnsiTheme="minorHAnsi" w:cstheme="minorHAnsi"/>
              <w:sz w:val="20"/>
              <w:szCs w:val="20"/>
            </w:rPr>
            <w:t xml:space="preserve"> of </w:t>
          </w:r>
          <w:r w:rsidRPr="00AB092A">
            <w:rPr>
              <w:rFonts w:asciiTheme="minorHAnsi" w:hAnsiTheme="minorHAnsi" w:cstheme="minorHAnsi"/>
              <w:sz w:val="20"/>
              <w:szCs w:val="20"/>
            </w:rPr>
            <w:fldChar w:fldCharType="begin"/>
          </w:r>
          <w:r w:rsidRPr="00AB092A">
            <w:rPr>
              <w:rFonts w:asciiTheme="minorHAnsi" w:hAnsiTheme="minorHAnsi" w:cstheme="minorHAnsi"/>
              <w:sz w:val="20"/>
              <w:szCs w:val="20"/>
            </w:rPr>
            <w:instrText>NUMPAGES</w:instrText>
          </w:r>
          <w:r w:rsidRPr="00AB092A">
            <w:rPr>
              <w:rFonts w:asciiTheme="minorHAnsi" w:hAnsiTheme="minorHAnsi" w:cstheme="minorHAnsi"/>
              <w:sz w:val="20"/>
              <w:szCs w:val="20"/>
            </w:rPr>
            <w:fldChar w:fldCharType="separate"/>
          </w:r>
          <w:r w:rsidR="00AB092A" w:rsidRPr="00AB092A">
            <w:rPr>
              <w:rFonts w:asciiTheme="minorHAnsi" w:hAnsiTheme="minorHAnsi" w:cstheme="minorHAnsi"/>
              <w:noProof/>
              <w:sz w:val="20"/>
              <w:szCs w:val="20"/>
            </w:rPr>
            <w:t>2</w:t>
          </w:r>
          <w:r w:rsidRPr="00AB092A">
            <w:rPr>
              <w:rFonts w:asciiTheme="minorHAnsi" w:hAnsiTheme="minorHAnsi" w:cstheme="minorHAnsi"/>
              <w:sz w:val="20"/>
              <w:szCs w:val="20"/>
            </w:rPr>
            <w:fldChar w:fldCharType="end"/>
          </w:r>
        </w:p>
      </w:tc>
    </w:tr>
  </w:tbl>
  <w:p w14:paraId="29795AAD" w14:textId="77777777" w:rsidR="00DC2A4B" w:rsidRPr="00AB092A" w:rsidRDefault="00DC2A4B">
    <w:pPr>
      <w:rPr>
        <w:rFonts w:asciiTheme="minorHAnsi" w:hAnsiTheme="minorHAnsi" w:cstheme="min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1ABF" w14:textId="77777777" w:rsidR="00AB092A" w:rsidRDefault="00AB09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903D4" w14:textId="77777777" w:rsidR="005E562C" w:rsidRDefault="005E562C">
      <w:r>
        <w:separator/>
      </w:r>
    </w:p>
  </w:footnote>
  <w:footnote w:type="continuationSeparator" w:id="0">
    <w:p w14:paraId="1877ACA8" w14:textId="77777777" w:rsidR="005E562C" w:rsidRDefault="005E5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6119E" w14:textId="77777777" w:rsidR="00AB092A" w:rsidRDefault="00AB09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DC2A4B" w:rsidRPr="00AB092A" w14:paraId="611892BC" w14:textId="77777777">
      <w:tc>
        <w:tcPr>
          <w:tcW w:w="5000" w:type="pct"/>
          <w:tcBorders>
            <w:top w:val="nil"/>
            <w:left w:val="nil"/>
            <w:bottom w:val="nil"/>
            <w:right w:val="nil"/>
          </w:tcBorders>
          <w:noWrap/>
        </w:tcPr>
        <w:p w14:paraId="1A48C531" w14:textId="77777777" w:rsidR="00DC2A4B" w:rsidRPr="00AB092A" w:rsidRDefault="00AB092A">
          <w:pPr>
            <w:rPr>
              <w:rFonts w:asciiTheme="minorHAnsi" w:hAnsiTheme="minorHAnsi" w:cstheme="minorHAnsi"/>
              <w:color w:val="808080"/>
              <w:sz w:val="20"/>
              <w:szCs w:val="20"/>
            </w:rPr>
          </w:pPr>
          <w:r w:rsidRPr="00AB092A">
            <w:rPr>
              <w:rFonts w:asciiTheme="minorHAnsi" w:hAnsiTheme="minorHAnsi" w:cstheme="minorHAnsi"/>
              <w:color w:val="808080"/>
              <w:sz w:val="20"/>
              <w:szCs w:val="20"/>
            </w:rPr>
            <w:t>Closing Out Your U.S. Department of Labor (DOL) Grant</w:t>
          </w:r>
        </w:p>
        <w:p w14:paraId="515265CF" w14:textId="1EFAFE0E" w:rsidR="00AB092A" w:rsidRPr="00AB092A" w:rsidRDefault="00AB092A">
          <w:pPr>
            <w:rPr>
              <w:rFonts w:asciiTheme="minorHAnsi" w:hAnsiTheme="minorHAnsi" w:cstheme="minorHAnsi"/>
              <w:color w:val="000000"/>
              <w:sz w:val="20"/>
              <w:szCs w:val="20"/>
            </w:rPr>
          </w:pPr>
          <w:r w:rsidRPr="00AB092A">
            <w:rPr>
              <w:rFonts w:asciiTheme="minorHAnsi" w:hAnsiTheme="minorHAnsi" w:cstheme="minorHAnsi"/>
              <w:color w:val="808080"/>
              <w:sz w:val="20"/>
              <w:szCs w:val="20"/>
            </w:rPr>
            <w:t>04/06/2023</w:t>
          </w:r>
        </w:p>
      </w:tc>
    </w:tr>
  </w:tbl>
  <w:p w14:paraId="06C21CA7" w14:textId="77777777" w:rsidR="00DC2A4B" w:rsidRPr="00AB092A" w:rsidRDefault="00DC2A4B">
    <w:pPr>
      <w:rPr>
        <w:rFonts w:asciiTheme="minorHAnsi" w:hAnsiTheme="minorHAnsi" w:cstheme="minorHAns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6B34" w14:textId="77777777" w:rsidR="00AB092A" w:rsidRDefault="00AB09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5E562C"/>
    <w:rsid w:val="00A77B3E"/>
    <w:rsid w:val="00AB092A"/>
    <w:rsid w:val="00CA2A55"/>
    <w:rsid w:val="00DC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B95A3D5"/>
  <w15:docId w15:val="{52738715-7380-41EE-9CF2-4CC08B94F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B092A"/>
    <w:pPr>
      <w:tabs>
        <w:tab w:val="center" w:pos="4680"/>
        <w:tab w:val="right" w:pos="9360"/>
      </w:tabs>
    </w:pPr>
  </w:style>
  <w:style w:type="character" w:customStyle="1" w:styleId="HeaderChar">
    <w:name w:val="Header Char"/>
    <w:basedOn w:val="DefaultParagraphFont"/>
    <w:link w:val="Header"/>
    <w:rsid w:val="00AB092A"/>
    <w:rPr>
      <w:sz w:val="24"/>
      <w:szCs w:val="24"/>
    </w:rPr>
  </w:style>
  <w:style w:type="paragraph" w:styleId="Footer">
    <w:name w:val="footer"/>
    <w:basedOn w:val="Normal"/>
    <w:link w:val="FooterChar"/>
    <w:unhideWhenUsed/>
    <w:rsid w:val="00AB092A"/>
    <w:pPr>
      <w:tabs>
        <w:tab w:val="center" w:pos="4680"/>
        <w:tab w:val="right" w:pos="9360"/>
      </w:tabs>
    </w:pPr>
  </w:style>
  <w:style w:type="character" w:customStyle="1" w:styleId="FooterChar">
    <w:name w:val="Footer Char"/>
    <w:basedOn w:val="DefaultParagraphFont"/>
    <w:link w:val="Footer"/>
    <w:rsid w:val="00AB09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7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10323</Words>
  <Characters>49142</Characters>
  <Application>Microsoft Office Word</Application>
  <DocSecurity>0</DocSecurity>
  <Lines>655</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Burton</cp:lastModifiedBy>
  <cp:revision>2</cp:revision>
  <dcterms:created xsi:type="dcterms:W3CDTF">2023-04-10T17:21:00Z</dcterms:created>
  <dcterms:modified xsi:type="dcterms:W3CDTF">2023-04-10T17:21:00Z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0e2254c45160f09f343473eacf064ded1f269b5d807579af3a6e7de53ab5ca4a</vt:lpwstr>
  </property>
</Properties>
</file>