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1471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2AB085D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would like to introduce today's moderator for the event, Ingrid Schonfield, Workforce Analyst, Office of Workforce Investment, US Department of Labor Employment and Training Administration. Please welcome Ingrid.</w:t>
      </w:r>
    </w:p>
    <w:p w14:paraId="510B25B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Ingrid N. Schonfield:</w:t>
      </w:r>
    </w:p>
    <w:p w14:paraId="33B3393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good morning, good afternoon, and happy Friday everyone. I'm Ingrid Schonfield with the DWG program office in DC, in the Pacific Northwest Outstation. We're so happy you could join us today for our second part of our two part series on Demystifying Disaster Recovery Dislocated Worker Grant Applications. I am so thrilled to be joined today by our fantastic dislocated worker grants grant officer, Ms. Jenifer McEnery, who will do the bulk of the presenting today, and with my teammate, and as I call him, our senior subject matter expert on all things dislocated worker grant, Mr. Jeff Ryan. We will be taking questions and comments throughout the session. So just want to reiterate what Samantha mentioned. Please do feel free to ask any questions, comments. I believe if you use the Q&amp;A feature, those will just come privately to us, the presenters. So don't be bashful.</w:t>
      </w:r>
    </w:p>
    <w:p w14:paraId="7DA7F63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I'd now like to move into providing a little bit of backdrop for today's session. So on this next slide, you see the purpose for us today, and just to note that really, what we want to do today is clarify what information we need to see in applications for disaster recovery dislocated worker grant applications, so that you can quickly get funding into your agencies, your states, your outlying territories, your tribal entities, so that you can quickly get to work on recovering from the disaster. So that's really the big picture here. A little bit of context in case you weren't here for our part one session, which was last Wednesday the 21st, this technical assistance event was spurred on by requests that we were receiving through our regional offices from states, tribes, outlying areas, about how can they expeditiously get disaster recovery funds. And since we are now officially in the hurricane season, we thought it might be a timely moment to discuss this.</w:t>
      </w:r>
    </w:p>
    <w:p w14:paraId="2F9D44A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in case you did miss Wednesday's part one session, the recording will be posted very shortly on the Workforce GPS site. We'll put a link to it in our community of practice, and I'll put that link into the chat in a moment for you. I want to share one more little caveat, couple more caveats. One is, again, today is really all about how can you provide the information in the suggested disaster recovery DWG application form so that you can get funding quickly. We're not going to talk about any other open funding opportunities or really get into a deep dive on how to create eligibility policies and that sort of thing. Having said that, one other big picture piece to share is that the US Department of Labor, Employment, and Training Administration teams review and assessment of new funding requests, good news, bad news story, is largely, largely subjective.</w:t>
      </w:r>
    </w:p>
    <w:p w14:paraId="3F601FE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the good news is that this allows for a lot of flexibility, so that all the different kinds of specific disasters can be responded to appropriately and promptly. So we view this whole application review process as a conversation, conversations that are held between the federal project officers and regional offices and the applicants, conversations with the regional offices and the grants office and the program office. And really the whole point is to get to yes as quickly as possible to fund your projects, so you can mitigate those disasters. Now, I want to acknowledge that the bad news, for many of us who prefer a more clear cut process, this can be frustrating, to work within the less than black and white structure of our process. But we have learned over the years that this is the best way to allow a lot of flexibility in your project design, and to allow you to create projects that really meet your specific community's needs.</w:t>
      </w:r>
    </w:p>
    <w:p w14:paraId="65B3A05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hopefully that wasn't too much of a intro, but let's move on and I want to share a little bit about what's on our agenda today. We're hoping that most people who were with us on Wednesday will be </w:t>
      </w:r>
      <w:r>
        <w:rPr>
          <w:rFonts w:ascii="Calibri" w:eastAsia="Calibri" w:hAnsi="Calibri" w:cs="Calibri"/>
          <w:color w:val="000000"/>
          <w:sz w:val="22"/>
        </w:rPr>
        <w:lastRenderedPageBreak/>
        <w:t>here again today. So we'll do a little bit less of getting to know you, and we are going to just really do a much deeper dive today in particularly the budget related portions of the application and the budget narrative. And we will do a recap of Wednesday's part one, just in case you weren't able to join. I wanted to note I put a screen clipping of the website, grants.gov, where you can find the disaster recovery DWG application form. So basically if you go to grants.gov, and in the upper right-hand corner of the screen there's a search bar and you could actually just enter 16-21, and that will get you there.</w:t>
      </w:r>
    </w:p>
    <w:p w14:paraId="371B7D9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Or if you want to be precise, you could enter ETA-TEGL-16-21, and that will get you to the page that we're looking at now on the little tiny screenshot. And under the related documents is where you can download either a Microsoft Word or PDF version of the application. So wanted to point that out in case you would like to download one now, if you don't have one handy, so you can follow along. So I know that many of you have already been doing a great job of introducing yourselves in the chat. If you haven't done so already, I would love for you to share your name, your organization's name, where you're located, and this is for ETA staff as well, just so we know who's in the virtual room. And also love to have you share any disaster recovery DWG application related questions you may have that are either leftover from Wednesday's session, or new today.</w:t>
      </w:r>
    </w:p>
    <w:p w14:paraId="34AD6B4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if you'd be so kind, we'd love to see that coming into the chat, so we can make sure to the best of our ability that we address your specific concerns. And I see some more folks who are putting questions in the chat and introducing themselves. Thank you very, very much. Appreciate that. Let's move on. We have a robust agenda, and I really want you to get started with the recap from Wednesday that my dear colleague Mr. Jeff Ryan will share with you now. Jeff?</w:t>
      </w:r>
    </w:p>
    <w:p w14:paraId="7BF9A52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Jeff Ryan:</w:t>
      </w:r>
    </w:p>
    <w:p w14:paraId="3342075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Ingrid, and welcome again everybody. For those of you who were here on Wednesday, we'll do a really quick recap. For those of you who weren't, this will give you a sense of what we talked about, and the recording of that session will be available soon. So if you need to take a look for that, we should be able to announce it in the next few days as being available. But I'm just going to do a really quick overview of what we talked about last time, and really what we wanted to highlight was that obviously you can't really get going with your DWG until you have an application, but at the same time, there's a lot of things we've done to allow you to get started as quickly as possible. Because more so than most of the things we do responding to a disaster event, getting people when they need services the most, when they're available to you, is really, really critical, so timing is of always of the essence.</w:t>
      </w:r>
    </w:p>
    <w:p w14:paraId="0720486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we talked a lot about how you should think about your application from a perspective of how many people you think you're going to serve, how much money you're going to need, but really importantly, what you're going to do based on what the actual effects of whatever disaster was declared that you are responding to. So telling the story of the disaster, how it affected the people in your community, how it impacted employment opportunities, what physical effects it might have had, what humanitarian needs it might have spurred. Thinking about all those things and writing your application in a way that gives you flexibility to do what you need, but also provides enough context for us to be able to say, "The jobs, the disaster relief employment that you're trying to develop in order to put people to work, to get them economically recovered from the disaster, are going to be allowable." The other flexibility that we really, really want you to think about and take advantage of wherever possible is the start date for your project.</w:t>
      </w:r>
    </w:p>
    <w:p w14:paraId="7C859EC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We've allowed that start date to be as early as the actual qualifying event, so the disaster for which the declaration was issued, and that that project start can include all of the kinds of activities that are allowable under a DWG. We talked a little bit about being thoughtful about what kinds of activities you start before you have approval of the grant or the jobs, because anything that you do that's unallowable </w:t>
      </w:r>
      <w:r>
        <w:rPr>
          <w:rFonts w:ascii="Calibri" w:eastAsia="Calibri" w:hAnsi="Calibri" w:cs="Calibri"/>
          <w:color w:val="000000"/>
          <w:sz w:val="22"/>
        </w:rPr>
        <w:lastRenderedPageBreak/>
        <w:t>could be problematic, but we want you to think about the kinds of work you need to do, the kinds of partnerships you need to make, the kinds of activities you need to carry out, and start them as soon as possible because the longer you wait, the less likely it is that you're going to meet your goals, identify the people who need to be really enrolled in the program, and who can benefit most from our services.</w:t>
      </w:r>
    </w:p>
    <w:p w14:paraId="2D294DE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thing I always want folks to think about when they're looking at a disaster grant is that we create the employment in these disaster recovery DWGs to enable the community and the people affected by whatever disaster to economically recover from that event. We do that by giving money to create employment, and that employment helps mitigate the effects of that disaster event. But the reason we do it is for them to have the ability to economically recover, to help the community stand back up after whatever kinds of effects it was hit by, with whatever the disaster was. So we always want you to think about that bigger picture, because that can help you identify how to structure your project, how to think about the kinds of things you need to do. Clean up and humanitarian assistance are fairly broad and flexible concepts, so looking at the whole economy and what it needs in order to recover is going to be really important.</w:t>
      </w:r>
    </w:p>
    <w:p w14:paraId="249F4CE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last piece I want to mention, again, is we don't care where you do the work within the disaster area. Now obviously that work has to be done within the areas declared by FEMA or the other federal agencies that make the declaration, but the kind of work is what we care about. The actual jobs. Whether you're working on public or private property, that's really up to how you're structuring your project. So just thinking about that when you are designing your project, and understanding that the job is critical to us. Where you do it is based on the needs in your community that may change over time. So we talked about all of those kind of things and how to do this as quickly as possible when you're submitting an application, particularly by having some preparation, having some planning time, having partners already established, having policies in place, knowing who in your community have information or access to populations that might be underserved.</w:t>
      </w:r>
    </w:p>
    <w:p w14:paraId="0E55D83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All of those kind of things you should be thinking about before a disaster ever occurs, so when it does, you can roll right into the DWG as quickly as possible. We had some other more specific context, but for now I'm just going to keep it at that higher level for this recap, and pass it over now to Jennifer, who is the grant officer, who's going to talk about some of the more specific kinds of activities or information that's needed in the remainder of the application, which is starting with section five. So I think I'm passing it to Jen.</w:t>
      </w:r>
    </w:p>
    <w:p w14:paraId="0E5391F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3713731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Hi. Thank you Jeff. That was a wonderful recap of our prior session, I appreciate that. So I am going to do my best to get through this so we can answer some of your questions, because I think that's a really important piece of this TA presentation. So these are some of the items we're going to cover, and really it's we're going to talk about the things that we look for in the Office of Grants Management when we're reviewing the application, and that process, and then we're going to roll into the application components. Okay.</w:t>
      </w:r>
    </w:p>
    <w:p w14:paraId="00341D3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as Jeff mentioned and Ingrid mentioned, our goal is to award funds as quickly as possible in response to qualifying disaster events, so that grant recipients have the needed resources to carry out allowable disaster relief employment, and employment training activities, in response to that disaster. This is true for emergencies and full applications, and slightly easier for emergency applications where the qualifying event is underway, the declaration has been issued, and the justification supports the immediate award of funds with an abbreviated application. Full applications require more in-depth review and fully developed applications, including the statement of work and budget. And today's session's really going to focus on reviewing full applications, or at least components of the full </w:t>
      </w:r>
      <w:r>
        <w:rPr>
          <w:rFonts w:ascii="Calibri" w:eastAsia="Calibri" w:hAnsi="Calibri" w:cs="Calibri"/>
          <w:color w:val="000000"/>
          <w:sz w:val="22"/>
        </w:rPr>
        <w:lastRenderedPageBreak/>
        <w:t>application. For your awareness regarding the timing of the award approval, the secretary's determination must be made no later than 45 days from the receipt of the complete responsive application.</w:t>
      </w:r>
    </w:p>
    <w:p w14:paraId="6A50ABB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Most often, it is awarded prior to that, and quite honestly, with emergency applications, you should be in touch with your regional office as soon as that disaster, or the warning signs of a disaster are there, or the disaster hits. And they notify us, so we can turn around those in an even shorter turnaround time. However, it is very important that you understand that until the secretary approves an award, there is no guarantee of funding. So following approval, funds may be used for allowable grant activities approved in the executed grant agreement during the period of performance, which Jeff mentioned the start date. And that start date may start as early as the date of the qualifying event, as identified in the declaration, and it generally lasts no more than 24 months, unless you get an approved extension at the right point in time during the period of performance.</w:t>
      </w:r>
    </w:p>
    <w:p w14:paraId="33D8F0F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so what are we looking for? What are application reviewers looking for? Simplified, these are the three areas of focus when reviewing applications. Our job in the Office of Grants Management is to ensure that we have a solid file with documentation and information for a recommendation to the secretary to fund the application. And we are consistently following our own policies and procedures for approving awards. We work with the program office and the regional offices to complete the file and perform co-reviews to ensure compliance. We also look at prior performance as an indicator of risk for substantial funding requests.</w:t>
      </w:r>
    </w:p>
    <w:p w14:paraId="24A1E9C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Our primary questions to ensure timeliness are, is the application reasonably responsive to the suggested application and the TEGL? Is the funding amount justified, and can we award with conditions? If we can answer yes to all of these questions, we will make a recommendation to the secretary and continue to work with the applicant, you all, through the regional office, to resolve any potential conditions of award, without delaying the actual award and the secretary's determination. In some cases, however, as some of you have experienced, applications cannot move forward until revisions or clarifications are made to the application.</w:t>
      </w:r>
    </w:p>
    <w:p w14:paraId="72928F9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most common reasons for applications being returned include misalignment between the statement of work and the budget narrative, such as unclear participant counts, funding needs, and unallowable costs. Vague descriptions that do not clearly reflect allowable activities or costs, or demonstrate how costs are determined. Missing key information requested in the suggested application. So now I think why you all are here, and to help you with your application, let's take a look at the sections that can create the most confusion when writing and reviewing.</w:t>
      </w:r>
    </w:p>
    <w:p w14:paraId="7B9CAB2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look at this lovely, lovely slide. So the purpose of the preliminary PIP is to provide an initial idea about the project, about how the project design aligns with the proposed services budget, et cetera. So we're looking for a very high level view at the point of the grant application, that demonstrates that you have a plan to move the project forward upon approval, and identifies any key milestones that, if delayed, could affect the project implementation.</w:t>
      </w:r>
    </w:p>
    <w:p w14:paraId="445F536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Things such as developing employer MOUs, or enrolling your first cohort, or it could even be something as obvious as roads are closed because of the disaster, and so you have to wait for certain things to happen before you can actually get participants enrolled. So this particular document, the preliminary project implementation plan, or PPIP, does not need to be exhaustive, and you will not be held to the dates. So this is something where I think a lot of people get nervous and they get overly detailed, but this is really to show us that you have an immediate needs plan. How are you going to launch this event, or the project?</w:t>
      </w:r>
    </w:p>
    <w:p w14:paraId="180EAA7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You will develop a more detailed PIP, project implementation plan, post award with your assigned federal project officer in your region. The preliminary PIP should, however, align with your statement of work and budget narrative if applicable. No surprise activities not addressed elsewhere in the application. This should be obvious and clear. More information on the post-award PIP can be found in TEGL 16-21, section eight, under the post-award policies. Before we move on to the next slide, Ingrid, do you know, are there any questions in the chat about that?</w:t>
      </w:r>
    </w:p>
    <w:p w14:paraId="05ADBB1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Ingrid N. Schonfield:</w:t>
      </w:r>
    </w:p>
    <w:p w14:paraId="74EE6B5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don't have questions about the specific content that you're going over at this moment, but we do have a couple that we'll be sure to get to later on.</w:t>
      </w:r>
    </w:p>
    <w:p w14:paraId="7998E59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79AC846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Okay, sounds good. Okay. So the purpose of that attestation is to ensure that you are aware of the TEGL requirements, and if the...</w:t>
      </w:r>
    </w:p>
    <w:p w14:paraId="6A61612D" w14:textId="77777777" w:rsidR="00A77B3E" w:rsidRDefault="00000000">
      <w:pPr>
        <w:spacing w:before="600" w:beforeAutospacing="1" w:afterAutospacing="1"/>
        <w:jc w:val="center"/>
        <w:rPr>
          <w:rFonts w:ascii="Calibri" w:eastAsia="Calibri" w:hAnsi="Calibri" w:cs="Calibri"/>
          <w:color w:val="000000"/>
          <w:sz w:val="22"/>
        </w:rPr>
      </w:pPr>
      <w:r>
        <w:rPr>
          <w:rFonts w:ascii="Calibri" w:eastAsia="Calibri" w:hAnsi="Calibri" w:cs="Calibri"/>
          <w:color w:val="000000"/>
          <w:sz w:val="22"/>
        </w:rPr>
        <w:t>PART 1 OF 4 ENDS [00:23:04]</w:t>
      </w:r>
    </w:p>
    <w:p w14:paraId="34D9E6D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267AC59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that you are aware of the TEGL requirements and if the response is yes, allow us to forego requesting policies and procedures for verification as a condition of award. So this eliminates a lot of conditions of award that we previously added to applications or to grant awards when we needed to verify things like stipends, supportive service policies, et cetera. If the response is no to any of these, or if you do not include the attestations in your application, we will either request additional information or include a condition of award.</w:t>
      </w:r>
    </w:p>
    <w:p w14:paraId="4EFAFDC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There are a couple of corrections that you should note though on this section. So the first one is that for policies and procedures, TEGL 16-21 separates participant supportive services for Disaster Relief Employment and employment and training activities. For employment and training activities, grantees are required to follow existing policies in place for WIOA Dislocated Worker Formula Grants. However, Disaster Relief Employment is unique to Disaster Recovery DWG. So it's left to the grant recipient to develop policies for Disaster Relief Employment that reflect WIOA requirements and are consistent with similar programs and policies underway. So that is really in your ballpark, but you are expected to have them in place and follow them when implementing this grant.</w:t>
      </w:r>
    </w:p>
    <w:p w14:paraId="0DE5D56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then for partnership in the AJC, this is something that I think has recently come to light and we've added to the grant terms and conditions as well as the TEGL. The reference in this particular attestation includes WIOA Section 166 for Native American tribes. It's not quite accurate for Disaster Recovery DWG grant recipients as all Disaster Recovery DWG grant recipients with the exception of federally... Let me pause. All Disaster Recovery DWG grant recipients have to be AJC partners with the exception of federally recognized tribes as described in the Stafford Act, not WIOA Section 166. So that's just a clarification that might help alleviate some confusion for tribes that are wondering if they may or may not be eligible or if this applies to them.</w:t>
      </w:r>
    </w:p>
    <w:p w14:paraId="453835F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Okay. So this is the enrollment and expenditure plan. And you see from those three bullets what the purpose of this plan is. It's really to show your projected enrollment plan to reach the plan participant count with consideration to incremental funding. DWGs are most often funded in one-third increments with an overall up to amount. Now the up to amount is not guaranteed. However, the expectation to receive the next one-Third is that applicants are working toward the total plan participant count in their </w:t>
      </w:r>
      <w:r>
        <w:rPr>
          <w:rFonts w:ascii="Calibri" w:eastAsia="Calibri" w:hAnsi="Calibri" w:cs="Calibri"/>
          <w:color w:val="000000"/>
          <w:sz w:val="22"/>
        </w:rPr>
        <w:lastRenderedPageBreak/>
        <w:t>initial application as justified by the community needs assessment. When we take a look at your up to award amount and when we approve and then award incrementally, we are basing it on the expectation that all the information you provided is based on the need to achieve that up to amount and the total participant count. Now the one-third allows you to scale back as you assess your needs while working towards that goal.</w:t>
      </w:r>
    </w:p>
    <w:p w14:paraId="187B405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in the prior presentation, it was explained that you cannot reduce your participant count total. However, you are also not locked into how many participants can enroll in DRE versus employment and training. Enrollments will likely fluctuate over the course of the project and this table will be adjusted to reflect actual enrollments with the next incremental request. Again, you are not held to these numbers in these sections. We understand that it fluctuates. This is your way of showing us that you have a plan for managing the increments in a way that allows you to achieve that plan participant goal, and this also helps you to identify the point in your grant award that you may need to come in for additional funding that next increment and to ensure that your project does not slow or stop. Easier said than done, I'm sure some of you are saying, but that is the intent of this particular part of the application.</w:t>
      </w:r>
    </w:p>
    <w:p w14:paraId="4B60FE6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so the Disaster Recovery DWG budgets, the Enrollment and Expenditure Plan Part B, this I think was, also some of you remember the e-system long time ago. Some of these charts were borrowed from the e-system and just updated for the new TEGL. This is not your budget. It is an estimation of how much of your grant award is expected to pay for Disaster Relief Employment. This allows us to determine if you are meeting the wage requirements outlined in TEGL 16-21 and provides justification and supports high participant costs for Disaster Relief Employment. Note that there isn't a total cost calculated for each position. Instead, we want to know the lowest wage and highest wage and the estimated per participant hours, not total of all participants, but per participant, how many hours are they going to work for that position?</w:t>
      </w:r>
    </w:p>
    <w:p w14:paraId="630BE43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job titles and positions listed here must align with those listed in Section 4A Community Needs Assessment, Disaster Relief Employment Needs and Jobs. Again, this is all about alignment. Is your application consistent? We're not looking for copy and paste. So if you have another disaster award or disaster project that was awarded and you're just like, "I'll just do the same thing," we do look at it. So if things look like they don't make sense, then that could stall the review and the award of this. The total estimated Disaster Relief Employment costs should be reflected in the budget and budget narrative in other or contractual. We'll talk a little bit about that in a second. What I mean by reflected is that it doesn't need to be itemized, but the cost that you're including in your budget narrative need to kind of reflect what the estimated Disaster Relief Employment costs are.</w:t>
      </w:r>
    </w:p>
    <w:p w14:paraId="5A3E2FE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Because we're looking to see, "Okay, you said this is DRE. It's very expensive. It makes sense based on what you've laid out here." Now if we go over to the budget narrative and there are no costs, or the costs are extraordinarily higher, then it's going to be a red flag and could result in a condition of award or depending on how much, could result in additional questions. So it's really important that you look at those numbers. They don't have to be actuals, they're estimates, but there should be some in alignment and explanation that goes with them that's consistent throughout your application.</w:t>
      </w:r>
    </w:p>
    <w:p w14:paraId="1EC06D5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you are required to provide a justification of wages are less than $15 an hour. Now this is not a huge bar. So some of you already have employer contracts and you're showing that you're meeting the federal requirements or the WIOA requirements for comparable wages. That's what we need to see and you need to explain that and it doesn't have to be more than a couple of lines, but of course our goal is we've got these funds, we want </w:t>
      </w:r>
      <w:proofErr w:type="spellStart"/>
      <w:r>
        <w:rPr>
          <w:rFonts w:ascii="Calibri" w:eastAsia="Calibri" w:hAnsi="Calibri" w:cs="Calibri"/>
          <w:color w:val="000000"/>
          <w:sz w:val="22"/>
        </w:rPr>
        <w:t>want</w:t>
      </w:r>
      <w:proofErr w:type="spellEnd"/>
      <w:r>
        <w:rPr>
          <w:rFonts w:ascii="Calibri" w:eastAsia="Calibri" w:hAnsi="Calibri" w:cs="Calibri"/>
          <w:color w:val="000000"/>
          <w:sz w:val="22"/>
        </w:rPr>
        <w:t xml:space="preserve"> people to get paid for the work and if there's an opportunity to achieve the $15 an hour, we support that. That's a slight difference from the past when we kept trying to get the, I think, cost per participant down. We still look at cost per participant, but we break out Disaster Relief Employment because if we want you to do $15 per hour and people are working 2080 </w:t>
      </w:r>
      <w:r>
        <w:rPr>
          <w:rFonts w:ascii="Calibri" w:eastAsia="Calibri" w:hAnsi="Calibri" w:cs="Calibri"/>
          <w:color w:val="000000"/>
          <w:sz w:val="22"/>
        </w:rPr>
        <w:lastRenderedPageBreak/>
        <w:t>hours, the expectation is that you're probably not going to keep the cost to $6,000 per participant. So the cost per participant doesn't really make sense in the context of DRE.</w:t>
      </w:r>
    </w:p>
    <w:p w14:paraId="572E58F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[inaudible 00:33:19]. Okay, there we go. Okay. So the Enrollments and Expenditure Plan Part C. This section focuses now on employment and training costs and the type of services that will be provided. Similar to DRE, this section supports participant costs and must align with the Community Needs Assessment, Section 4B, for employment and training needs and activities. These costs also should be reasonably reflected in the budget narrative. Again, we're not expecting itemization. We're expecting alignment and reasonable alignment with the information provided in the Enrollment and Expenditure Plan. And again, you're not held to these amounts. This is just to help us understand your project design and how you came to your costs, how you determine those costs. And again, we expect that it's going to fluctuate throughout the course of the project based on the participant needs and the needs you're seeing in the community. Again, goes back to the community needs assessment. That's really important. Okay, Ingrid, I think that we are now ready for questions before we move on to the next section.</w:t>
      </w:r>
    </w:p>
    <w:p w14:paraId="28182A2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Ingrid N. Schonfield:</w:t>
      </w:r>
    </w:p>
    <w:p w14:paraId="421661B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so much, Jen. Well done. That was incredibly succinct. I'm impressed. So we have a couple of questions that have come in and of course, we would love for folks to please take advantage of this rare golden opportunity to ask the grants officer any of your questions. And we really want to make sure that we can do, as Mike and California mentioned, help you understand how to apply make applying more easy and less painful. So please do put your questions into the chat or comments or anything at all. Having said that, we did get a question from I believe one of our colleagues in ETA specifically regarding employment recovery DWGs, which that's a little bit outside the scope, but frankly the question is still relevant to Disaster Recovery. Jeff, would you like to answer the question about work experience and paid work experience, et cetera?</w:t>
      </w:r>
    </w:p>
    <w:p w14:paraId="6FAF0510"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Jeff Ryan:</w:t>
      </w:r>
    </w:p>
    <w:p w14:paraId="28622C6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Sure. So the question is referencing whether DWGs can pay for work experience, and the question asked about wages and Employment Recovery DWG. I'm not a hundred percent sure I'm following the question, but let's talk about it more generally because this is a conversation really about Disaster Recovery DWGs. But there is an entire portion of those grants called employment and training activities that essentially operate the same way as an Employment Recovery DWG that would be awarded as a result of a mass layoff or another qualifying event. And the activities that are allowed for the employment and training portion of a Disaster Recovery DWG align exactly with those.</w:t>
      </w:r>
    </w:p>
    <w:p w14:paraId="594D389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that includes all of those kinds of career and training activities that are allowable under the WIOA Dislocated Worker Program generally. So work experience is certainly an allowable activity as are work-based learning, OJT. There's lots of different ways you can implement work experience activities as part of an employment and training portion of your grant. What I think I want to stress here though, and I realize this is a little bit bigger than the topic of applying, but it's good for you to understand because I hear it a lot, is that Disaster Relief Employment under a Disaster Recovery DWG is not a work experience. Those two things are completely separate from each other. Disaster Relief Employment is a job, it's employment. A person who is enrolled in Disaster Relief Employment and receiving a paycheck for work could also be enrolled in the grant and receiving employment and training activities, some portion of which could be a work experience.</w:t>
      </w:r>
    </w:p>
    <w:p w14:paraId="027FD66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Those two things do not have to align with each other. And I often hear questions or ways that grantees have implemented their Disaster Relief Employment programs that make me wonder whether we're fully recognizing the difference between the employment side, the Disaster Relief Employment, and the </w:t>
      </w:r>
      <w:r>
        <w:rPr>
          <w:rFonts w:ascii="Calibri" w:eastAsia="Calibri" w:hAnsi="Calibri" w:cs="Calibri"/>
          <w:color w:val="000000"/>
          <w:sz w:val="22"/>
        </w:rPr>
        <w:lastRenderedPageBreak/>
        <w:t>employment and training activities that includes work experiences and other related kinds of activities. I want to make sure that we're all understanding the difference between those two because one is a career and training activity and one is employment. That's a little bigger than the question. The answer to the question specifically is sure, you can pay for a work experience if someone is enrolled in employment and training activities. So that sort of narrow part is the easy part. The bigger question is understanding how these two things might fit together for an individual. Part of the challenge of operating one of these grants is really understanding what a particular individual might need in order to successfully be able to obtain unsubsidized employment after the grant expires or after their period of employment in the grant expires.</w:t>
      </w:r>
    </w:p>
    <w:p w14:paraId="7D515BC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Those are the kinds of things that I would always be thinking about is those individual activities that a particular participant might need. But there is a very, very distinct difference between employment and training activities and Disaster Relief Employment. I don't want to confuse the issue, but someone could be in Disaster Relief Employment where they learn skill skills like welding or other things that could then lead them to a career in a job that has those skills in it. But that's still not a work experience even if they've learned something. Even if they didn't have that skill beforehand and you train them in order to do the job, neither of those parts would be a work experience or Disaster Relief Employment. So keeping all of that in mind when you're applying and understanding that there's like a really broad scope of possible activities that people can be participating in and looking to really ensure that all of your participants have the best possible outcomes. And that for us is unsubsidized employment post grant. So that's a really long answer to a really short question.</w:t>
      </w:r>
    </w:p>
    <w:p w14:paraId="353AAEC6"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Ingrid N. Schonfield:</w:t>
      </w:r>
    </w:p>
    <w:p w14:paraId="274FA57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if these were easy, we wouldn't need to have this training. Right? Thank you, Jeff. Appreciate that. I hope that's helpful, Michelle. I wanted to note that our fabulous webinar platform hosts I think have dropped at least one link, possibly two links, into the chat for everyone to see. I just want to highlight that one of the links is to the grants.gov website that goes directly to the funding opportunity announcement under TEGL 16-21. So that's handy there for you. And also just in case you don't have it on your desk like I do in hard copy and dogeared, there is also a link to the TEGL 16-21. So you have it there. I'm just double checking to see if there's any other questions that have been submitted and I don't see any. So I think that we could proceed. Jen, back to you.</w:t>
      </w:r>
    </w:p>
    <w:p w14:paraId="358AACC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2413282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Thanks, Ingrid and Jeff. I always learn a little more each time we have these trainings, which is very exciting. So this document, everyone's friend, and for those of you who have filled out the SF-424A, you see that they're only showing one part of it, right? So this is really the part of the SF-424A we look at the closest. The other portions, yeah, they're important. If there are mistakes or errors on those, it's not going to stop your application. It's not something that we are too concerned with. This documentation, the SF-424A, is required and there's a couple of things to know about it. You must not add cents. I mean we'll accept it, but you'll get a condition saying, "Round to the nearest dollar and using standard rounding practices." Whole dollar only.</w:t>
      </w:r>
    </w:p>
    <w:p w14:paraId="0DF7720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Also, the cost category totals must exactly reflect cost category totals on the budget narrative. If there is a misalignment between the budget narrative and your SF-424A cost categories, then we most likely will return your full application and say, "Please correct it." Because that misalignment indicates that there is a calculation issue. By cost category, in case you were wondering, I am referring to column 6 A through K, personnel, fringe benefits, travel, equipment, supplies, contractual, construction, which construction should always be zero, other, and then total direct, indirect and totals.</w:t>
      </w:r>
    </w:p>
    <w:p w14:paraId="68DE299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Program income. Most of our programs do not have program income. It's not that it's not allowable, however, it's very rare that happens and it's always addition. So it has to go back towards your grant so you don't actually get more money if you're getting a program income that comes out of your project. Okay. So that is all I have to say about the SF-424A, which may be good news or bad news for all of you, but if you have questions, definitely ask them.</w:t>
      </w:r>
    </w:p>
    <w:p w14:paraId="2DED944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Okay, so which goes where? This helps you identify the categories for where your costs should go. Now keep in mind if you put these in the wrong categories, this is likely going to be a condition of award. And we'll say, "Okay, just move this item to the correct category." And oftentimes your federal project officer will catch that and help you identify the correct category. These are the common ones where the questions occur. Other is direct costs that do not fit anywhere else and direct costs, I mean you're not </w:t>
      </w:r>
      <w:proofErr w:type="spellStart"/>
      <w:r>
        <w:rPr>
          <w:rFonts w:ascii="Calibri" w:eastAsia="Calibri" w:hAnsi="Calibri" w:cs="Calibri"/>
          <w:color w:val="000000"/>
          <w:sz w:val="22"/>
        </w:rPr>
        <w:t>subawarding</w:t>
      </w:r>
      <w:proofErr w:type="spellEnd"/>
      <w:r>
        <w:rPr>
          <w:rFonts w:ascii="Calibri" w:eastAsia="Calibri" w:hAnsi="Calibri" w:cs="Calibri"/>
          <w:color w:val="000000"/>
          <w:sz w:val="22"/>
        </w:rPr>
        <w:t xml:space="preserve"> or contracting these costs out in most cases. Sometimes you guys have training accounts, and that could be an exception here. If it's a longstanding partnership, you wouldn't necessarily put that into contractual, but we'll accept it under either one of those. Disaster Relief Employment, if you're not </w:t>
      </w:r>
      <w:proofErr w:type="spellStart"/>
      <w:r>
        <w:rPr>
          <w:rFonts w:ascii="Calibri" w:eastAsia="Calibri" w:hAnsi="Calibri" w:cs="Calibri"/>
          <w:color w:val="000000"/>
          <w:sz w:val="22"/>
        </w:rPr>
        <w:t>subawarding</w:t>
      </w:r>
      <w:proofErr w:type="spellEnd"/>
      <w:r>
        <w:rPr>
          <w:rFonts w:ascii="Calibri" w:eastAsia="Calibri" w:hAnsi="Calibri" w:cs="Calibri"/>
          <w:color w:val="000000"/>
          <w:sz w:val="22"/>
        </w:rPr>
        <w:t>-</w:t>
      </w:r>
    </w:p>
    <w:p w14:paraId="0E5DC076" w14:textId="77777777" w:rsidR="00A77B3E" w:rsidRDefault="00000000">
      <w:pPr>
        <w:spacing w:before="600" w:beforeAutospacing="1" w:afterAutospacing="1"/>
        <w:jc w:val="center"/>
        <w:rPr>
          <w:rFonts w:ascii="Calibri" w:eastAsia="Calibri" w:hAnsi="Calibri" w:cs="Calibri"/>
          <w:color w:val="000000"/>
          <w:sz w:val="22"/>
        </w:rPr>
      </w:pPr>
      <w:r>
        <w:rPr>
          <w:rFonts w:ascii="Calibri" w:eastAsia="Calibri" w:hAnsi="Calibri" w:cs="Calibri"/>
          <w:color w:val="000000"/>
          <w:sz w:val="22"/>
        </w:rPr>
        <w:t>PART 2 OF 4 ENDS [00:46:04]</w:t>
      </w:r>
    </w:p>
    <w:p w14:paraId="3DAD147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33F7939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Employment. If you're not self-rewarding and you are actually overseeing the project activities, then that would go here. Training costs, career services, supportive services, and anything else that doesn't quite fit in other areas. And this could also include fiscal agents, that type of thing. If there's not a contract in place, but you need a place to put it. Equipment. Here's something that we get asked sometimes and especially under COVID, we had a lot of questions about this. Equipment includes information technology systems with consideration to acquisition costs. So it's not the per unit cost in the contract that we're looking at, we're looking for the total acquisition. So if you have a contract that is total $5,000, which may include membership fees or administration or installation or anything like that, that would qualify as equipment. Now you could put that under contractual, under contracts, or you could put it under equipment. It is nonetheless equipment. So prior approval is required before you purchased this, so keep that in mind.</w:t>
      </w:r>
    </w:p>
    <w:p w14:paraId="3BE4F63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prior approval is not after you've purchased it. So a lot of people will forget to get prior approval and they'll come asking, "Hey, can I get prior approval?" Well, you purchased it, there's nothing prior about that. So you need to pay special attention to that because if you come back in for an increment and we see that that's still on there and you're entering into your final year, we're going to ask, where is this? Because you didn't get prior approval and we can't approve this budget if this is an unallowable cost now, so keep that in mind.</w:t>
      </w:r>
    </w:p>
    <w:p w14:paraId="59C5B1C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then contractual. Under contractual is where you're going to put your sub awards. So if you are going to sub award project activities to your local workforce development board or to employers or anything like that, you're going to list them as sub awards under this section. And it doesn't matter if your mechanism for entering in that agreement is a contract, an MOU, et cetera, we still consider those subawards. And in the entities that you are engaging in a partnership with to conduct those project activities and oversee program activities, those are considered subrecipients.</w:t>
      </w:r>
    </w:p>
    <w:p w14:paraId="10431D4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here's the budget narrative overview. As mentioned with the SF424A, the budget narrative must align exactly. Your cost category totals on the budget narrative, like I said, must equal the same cost categories as the SF424A. Your cost must reasonably calculate within the 10% budget flexibility. So that's what I mean by reasonably calculate. We still look at it like, okay, they're $20 off or they're less than 10% cumulatively of the total award. So we'll often just let that go because you can make those </w:t>
      </w:r>
      <w:r>
        <w:rPr>
          <w:rFonts w:ascii="Calibri" w:eastAsia="Calibri" w:hAnsi="Calibri" w:cs="Calibri"/>
          <w:color w:val="000000"/>
          <w:sz w:val="22"/>
        </w:rPr>
        <w:lastRenderedPageBreak/>
        <w:t>adjustments during the period of performance without requesting a modification. You may want to take a look at that though, because if you actually have to switch and you already have these errors, then it could add up quickly.</w:t>
      </w:r>
    </w:p>
    <w:p w14:paraId="79C706C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and you must provide sufficient information to determine the allowability of the cost. This means it is clearly allocable, necessary and reasonable based upon regulations, your description and the statement of work and your description in the budget narrative, you have to hit all of it. Some tips to consider that often create some confusion and require some returns is that to be allocable, the costs must be for items used within the period of performance for the project as described in the statement of work. And what I mean by this is if you're buying something like a piece of equipment or technology that isn't going to be used or isn't necessary or part of the project as it's going to be implemented within that period of performance, we're going to have some questions because we don't use DWGs typically as capacity building to enhance how many people you can reach after the period of performance or anything like that.</w:t>
      </w:r>
    </w:p>
    <w:p w14:paraId="635C064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of course we've had some exceptions under COVID because of the limitations placed on access for participants to access the employment and training services because facilities were closed. And of course, exceptions happen and especially during disaster exceptions happen. So it's always good to ask. But without having specific detailed information, it will likely come back to you. And to be necessary, the cost must be needed to accomplish the statement of work. And to be reasonable, the cost must be the most prudent option to achieve the statement of work.</w:t>
      </w:r>
    </w:p>
    <w:p w14:paraId="5C692FD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there are nice to haves and need to haves and you might think it would be nice to have a bus to transport people to the work sites, but our question's going to be, what are your other resources? What would you typically do for transportation? What are your partners? How have you coordinated with other agencies? Is this really the most prudent use of DWG dollars? And then you have to demonstrate that yes, it was, and the demonstration can be the part that causes trouble. So if you're going to ask for something like that, you need to include the details in the budget narrative.</w:t>
      </w:r>
    </w:p>
    <w:p w14:paraId="4A5D8D2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 also must articulate in this budget narrative how you determine that the cost is allocable, necessary, and reasonable. Just giving us information doesn't necessarily explain how you determine this. And so that gets down to the, okay, why is this the best use of funds? And in some cases you might say, well, we have existing formula funds that we use for employment training services, and we found that this is the average cost per participant given our regular events. However, these are disaster events, we're serving long-term unemployed. Based on our experience with this population, we estimate that the cost will be about 10% higher. That's a justification, I see where you got it. It's based on practices. You've got documentation likely to support that. But that's kind of what we're looking for. How did you decide this? Does this make sense? Is it reasonable? And then we'll look at all of your other documentation, your project statement, your statement of work, your community needs assessment, your enrollment forms and say, yeah, this all aligns, it makes sense, let's move forward. Or, I got a big question, which happens too.</w:t>
      </w:r>
    </w:p>
    <w:p w14:paraId="01FD95B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the best way to achieve all of these points is really to use the Suggested Application Section eight. Section eight is not in addition to a separate budget narrative. It is the budget narrative and should be submitted through grants.gov as the budget narrative attachment. So in the forms when it says attach the budget narrative, you should separate that out from your project narrative and upload that. Now, you of course can upload additional attachments to that if you think that they support your statement or you can submit it in any other format. As long as you answer all of the information in Section eight and nine, you should be good. We literally use the Suggested Application as our checklist along with the WIOA, TEGL, Uniform Guidance, and any other guidance that is applicable to this particular project or program. But we start with the Suggested Application as our checklist and we have Excel spreadsheets </w:t>
      </w:r>
      <w:r>
        <w:rPr>
          <w:rFonts w:ascii="Calibri" w:eastAsia="Calibri" w:hAnsi="Calibri" w:cs="Calibri"/>
          <w:color w:val="000000"/>
          <w:sz w:val="22"/>
        </w:rPr>
        <w:lastRenderedPageBreak/>
        <w:t>where we type in all your numbers to calculate the 10% flexibility. So that's all part of our process of building the administrative set file to support our recommendation to fund this grant award.</w:t>
      </w:r>
    </w:p>
    <w:p w14:paraId="786496C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so just so you know how this is laid out, because I think this can cause confusion, and I know some of you probably don't love this format because it's not an Excel table and it doesn't do the calculations for you, so errors can happen. So again, this might be an opportunity for you to just look at it, create the Excel file and plop it in there. We unfortunately did not have the resources to create that Excel template for you as a Suggested Application, so hopefully in the future we can do that. But in the meantime, your FPOs may actually have something available to you. And of course, some of you already have robust budget narratives for DWGs that address all of these questions. So of course those are welcome too.</w:t>
      </w:r>
    </w:p>
    <w:p w14:paraId="45F9CE6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at the top you'll see there is a gray line. So for this it says personnel. In this row you'll see the description that's right from the budget instructions, and that's what we will be looking for at a minimum this information. And I think there have been some questions about, hey, we set the job title or we generalize the type of position, isn't that enough? Well, it can be if the narrative supports it as well. So the second part of this is that the section for below the first increment estimated cost total, asks for a brief description to justify budget costs provided above. And this is where you're really going to say, this staff position is needed to do X, Y, or Z. Or you can reference the statement of work, which would be great because then you're cross-referencing and you're showing us where in the statement of work this aligns.</w:t>
      </w:r>
    </w:p>
    <w:p w14:paraId="1B6F278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Of course that could be a lot of work so just make it obvious. The more obvious you make it, the fewer questions we have and we can go about our day. And again, this is the section, the narrative section is where you tell us how you determined the allowability of this cost. Now we also are pretty specific on what we look for in the personnel. We do want the annual salary, the FTE, and then the total and the number of years of a grant, we've had situations where people don't give us the annual salary. You can also do per hour and the number of hours per year, that kind of thing. But what we're trying to get at is, okay, this is how much this personnel would earn per year. This is how much time they're dedicating to this project. And this is the number of years that we anticipate that and that allows us to reasonably calculate the amount.</w:t>
      </w:r>
    </w:p>
    <w:p w14:paraId="124CE43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these are estimates. So your best estimate based on a valid resource, and it doesn't mean you're stuck to those. Some people give us, oh, include the 3% inflation rate, that's great. We're just looking for best estimate. We expect that these will change with each... As time goes by, you might decide that you don't need some of these staff or whatever, and you'll come in for a modification. So we're not holding you to the FTE or the annual salary. We're saying give us your estimate based on the information you know now as a result of your community needs assessment. I love saying that because I think we have to emphasize that's really a core piece, a key piece, a critical piece to your application.</w:t>
      </w:r>
    </w:p>
    <w:p w14:paraId="2ADB572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as I mentioned, these all should reasonably calculate. The tables that are included should show how you reached your calculation, included enough details that we can calculate it and the rows should calculate reasonably. For your initial full application new award, you will submit a SF424, SF424A, and budget narrative that reflect the full up to award amount you are requesting for the full period of performance, 24 months. So when you submit your application through grants.gov, typically your budget is going to show what you anticipate for two years, and it could be let's say, nine million dollars.</w:t>
      </w:r>
    </w:p>
    <w:p w14:paraId="3BABA98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you should anticipate, and likely you will already have had a conversation with your region and the region will have already had a conversation with us and we will have determined whether it's one-third increment or something along those lines. Generally, in most cases, you should expect that we will be awarding in one-third increments. So if you see here, we added something to this budget narrative in the Suggested Application to allow you a little bit of flexibility so you don't have to come in multiple times with multiple drafts, et cetera for your budget narrative. So we have the totals and the total costs. </w:t>
      </w:r>
      <w:r>
        <w:rPr>
          <w:rFonts w:ascii="Calibri" w:eastAsia="Calibri" w:hAnsi="Calibri" w:cs="Calibri"/>
          <w:color w:val="000000"/>
          <w:sz w:val="22"/>
        </w:rPr>
        <w:lastRenderedPageBreak/>
        <w:t>That total cost right there should reflect your full up to amount. It should align with your SF424A and SF424 when you submit through grants.gov.</w:t>
      </w:r>
    </w:p>
    <w:p w14:paraId="439417A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Your first increment amount, so you see there's a first increment estimated total, you determine based on the knowledge that you're going to get, one-third, how much of that first one-third or whatever your first increment is that you believe your estimate for that to be. So it could be one-third of total cost per personnel, I think a lot of people do that. And how that's going to help you out is we're going to get that, we're going to see that you have a total cost, you have a first increment cost, we're good, recommendation goes forward. We go back to you and say, hey, can you just submit the SF424 and SF424A with an revised one-third amount and you can literally have the SF424A ready to go based on the cost category totals here. And so what we're doing is we're allowing you the flexibility to align your SF424A with the total cost when you first apply, and then your first increment estimated total when you need to either respond with your conditions of award or hopefully we can resolve that before we award.</w:t>
      </w:r>
    </w:p>
    <w:p w14:paraId="235D546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that's not going to hold up an award, mind you, at least your initial award, but we hope, we work towards resolving any outstanding conditions of award because once you get the funds, you're focused on implementation. Most people don't want to focus on responding to conditions of award because things change and they want to get off the ground and they want to focus on that. So during that determination period, after we've determined it can be awarded with conditions, we're going to be reaching out to your FBO and they'll be working with you to resolve those outstanding clarifications hopefully before the secretary, who can move very quickly, makes a determination and we're held to the grant agreement or the application that we have in hand. And then you'll get conditions just so we can get it out the door to you.</w:t>
      </w:r>
    </w:p>
    <w:p w14:paraId="4E7C370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how we reconcile the first increment estimated total with the allowable costs, like the description is you're going to use the narrative after you've explained all of the up to amount and the need for the up to amount awards, you're going to say, what's your rationale for the first increment? And it can be as simple as we just calculated based on one-third. Okay, that at least explains how you got to that one-third. Or you can say, we anticipate that we're going to have a slower, a less costly upstart personnel costs as we get people in place and so this is less than one-third. Whatever your rationale is, this is just where you would explain it so we have an idea of how you came up with what you have indicated in this column, and you'll do that throughout the budget narrative. And that's again, a planning tool to help you estimate based on what you will generally receive in funding, which is the one-third.</w:t>
      </w:r>
    </w:p>
    <w:p w14:paraId="0E58F80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so most sections are straightforward, some aren't. Contractual is the one section that gives a lot of disaster recovery applicants the most trouble, especially when the subrecipients and subaward amounts are not fully formed. This is not uncommon during disasters. You may not know who all you are going to subaward to. However, we require that you provide subrecipient and contractor names and estimated allocations. And as a reminder, these subrecipients must reflect those listed in section three, which we covered in part one of this presentation or not this presentation, the prior presentation.</w:t>
      </w:r>
    </w:p>
    <w:p w14:paraId="06307D5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However, the allocation estimates do not obligate you to subaward to the plan subrecipients. And I think this is sometimes a misunderstanding of this budget, which is really a planning document. If several award amounts change within this cost category, you do not need to request a modification as long as the cost category total, so the total cost or the first increment estimated costs are within the 10% flexibility. So within this, each of these line items, you might have three local workforce development boards or three employers of record or three offices, however you're structured and you know that they're going to be partners, but you're not sure what the need is exactly or how quickly they'll be spending through funds or they will get started, that kind of thing.</w:t>
      </w:r>
    </w:p>
    <w:p w14:paraId="0D442C3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so this is just a planning tool, so you say they're all going to get equal amounts. Then during the course of the work, you find out one doesn't need as much funding as another. From our perspective, </w:t>
      </w:r>
      <w:r>
        <w:rPr>
          <w:rFonts w:ascii="Calibri" w:eastAsia="Calibri" w:hAnsi="Calibri" w:cs="Calibri"/>
          <w:color w:val="000000"/>
          <w:sz w:val="22"/>
        </w:rPr>
        <w:lastRenderedPageBreak/>
        <w:t>now what you do with how you subaward is totally up to you, we don't get involved with how subaward other than types of information that are required. But we don't get into telling you how you monitor your grant recipients or how you enter into agreements with them about funding or how you fund them. That happens during project implementation. For our purposes, we expect that you're probably, if the disaster needs changed throughout the course of the-</w:t>
      </w:r>
    </w:p>
    <w:p w14:paraId="0B60549B" w14:textId="77777777" w:rsidR="00A77B3E" w:rsidRDefault="00000000">
      <w:pPr>
        <w:spacing w:before="600" w:beforeAutospacing="1" w:afterAutospacing="1"/>
        <w:jc w:val="center"/>
        <w:rPr>
          <w:rFonts w:ascii="Calibri" w:eastAsia="Calibri" w:hAnsi="Calibri" w:cs="Calibri"/>
          <w:color w:val="000000"/>
          <w:sz w:val="22"/>
        </w:rPr>
      </w:pPr>
      <w:r>
        <w:rPr>
          <w:rFonts w:ascii="Calibri" w:eastAsia="Calibri" w:hAnsi="Calibri" w:cs="Calibri"/>
          <w:color w:val="000000"/>
          <w:sz w:val="22"/>
        </w:rPr>
        <w:t>PART 3 OF 4 ENDS [01:09:04]</w:t>
      </w:r>
    </w:p>
    <w:p w14:paraId="099A7B0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066D8DC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As the disaster needs change throughout the course of the project, and different communities have more participants, or more response for DRE, or whatever it is, we expect that those numbers will probably change. And by the time you come in for the next increment, your allocations may look different. And we might ask you that for the next increment. But in the meantime you don't have to come in, as long as the total costs and the first increment estimated costs are within that 10% flexibility. The exception, because there's always exceptions, is when you drop somebody. If you drop a sub-recipient, or you add a sub-recipient, then that's when we would need to know. And that's really a statement of work change, and then you would just add the revised budget to show that that partner is part of the budget narrative plan, or the budget narrative, so your total grant agreement. Again, that's if you drop somebody, or you add a new sub-recipient, and that's just part of the statement of work.</w:t>
      </w:r>
    </w:p>
    <w:p w14:paraId="33E5293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I'll be surprised if there are no questions about that, but also happy. Another thing you should know about this section is contingency funds are not allowed. You can't just have, we're going to have four sub-recipients, and we estimate maybe X number of dollars. We need to know names. We need a little bit more information, and we don't do miscellaneous funds. Just in case there's another need we haven't anticipated, we don't do that. No contingency funds.</w:t>
      </w:r>
    </w:p>
    <w:p w14:paraId="796C057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What? Did I get to the end already? I did. Section nine of the suggested application provides additional information, and you can always contact us with questions through your regional FPO. We are happy, if something goes back to you once and you have questions, you can always request a meeting with us so we can explain it. And sometimes the correction is just pointing us to the right information. It can be quick and painless. That's it.</w:t>
      </w:r>
    </w:p>
    <w:p w14:paraId="401A8D2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Ingrid N. Schonfield:</w:t>
      </w:r>
    </w:p>
    <w:p w14:paraId="55A70DB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Excellent. Thank you so much, Jen. I hope you're sitting down, because there are no questions.</w:t>
      </w:r>
    </w:p>
    <w:p w14:paraId="04C6879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4F4D733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What?</w:t>
      </w:r>
    </w:p>
    <w:p w14:paraId="6949F55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Ingrid N. Schonfield:</w:t>
      </w:r>
    </w:p>
    <w:p w14:paraId="5557290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know. It's because we have all of our sharpest states, outlying areas and tribal folks with us today. That must be the reason. But I do want to mention, folks, feel free to pose questions or share comments not only about what has been shared today, but also any questions that might be left over from Wednesday's discussion. And I'll just pause here for a moment to see if anything comes into our chat. And if not, we'll move into a little reflection segment.</w:t>
      </w:r>
    </w:p>
    <w:p w14:paraId="0BCE0AD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it looks like folks are either digesting, or just super knowledgeable already. I would love to hear, especially though, from folks in California who said we need tips to make it easier to apply. Hopefully you've gotten some tips, and if not, we'd love to hear what else you might need.</w:t>
      </w:r>
    </w:p>
    <w:p w14:paraId="7A82F2B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Samantha Doak:</w:t>
      </w:r>
    </w:p>
    <w:p w14:paraId="0CA6F03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feel like California could offer us some tips.</w:t>
      </w:r>
    </w:p>
    <w:p w14:paraId="7B5A204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Ingrid N. Schonfield:</w:t>
      </w:r>
    </w:p>
    <w:p w14:paraId="4B94593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was sort of thinking the same thing. Not that I'm unbiased, a former Californian myself.</w:t>
      </w:r>
    </w:p>
    <w:p w14:paraId="153094A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03C3076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not at all. We welcome tips and feedback. We definitely, and this is something we probably don't talk about enough, is we see this as a partnership. We don't see this as us checking to make sure you're doing the right thing, or compliance review or anything like that. We have to check for compliance, we have to do all these things, but it's really a partnership. It's a partnership between OGM and the regions, and the program office, and you. Because that's how we achieve our missions, our work. If something seems unclear, difficult, and we can do something about it, share, give us information. And believe me, the regions give us lots of feedback. And good feedback, and it has led to a lot of changes. Don't be shy. Be kind, please be kind. We're doing our best.</w:t>
      </w:r>
    </w:p>
    <w:p w14:paraId="6BFF101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Ingrid N. Schonfield:</w:t>
      </w:r>
    </w:p>
    <w:p w14:paraId="33194C3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that's a good note too, Jen, because we do have quite a few regional office staff with us. If there are any scenarios that any regional office staff would like to pose in the Q and A, we are happy to try to work through those as well. I don't want to belabor, so keep thinking about that. But I'll shift to something that's related, a little bit different. See, if my slide deck will change. One more. I have to press hard on my mouse. There it goes. So Sam, if you wouldn't mind opening up the chat for folks, I would love to just get some reactions from you, because you've been very quiet. Hopefully you don't have the Friday blues. Would love to hear in the chat, if there's a word or a phrase that struck you in today's session, and or something you learned. And we'd love to hear if there are other topics you would like us to cover in future technical assistance events related to Dislocated Worker Grants.</w:t>
      </w:r>
    </w:p>
    <w:p w14:paraId="6C8E08F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take a moment, reflect. I would love to see in the chat, any or all answers to these questions. Sam, I'm not seeing anything coming in. I'm hoping it's because I'm having technical difficulties. Ah, thank you so much. I do see a question coming in about, "I was hoping for some shortcuts. Because filling out the application, especially the budget narrative is a lot of work. And since we do go through one to three applications per year, plus increment requests for existing grants, it's a lot of slogging through." Jen or Jeff, any reactions or comments for our great State of California friends?</w:t>
      </w:r>
    </w:p>
    <w:p w14:paraId="1FF9BE0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4AFCAAB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I highly recommend that you set up a budget template, and work with your FPO to do that. So with your first application, you have the three increments factored into that, and you just adjust it in your application. That may not seem like a shortcut, but ideally for an incremental, you will start out with that original application, and then you will just update the information when you resubmit. So we can see the changes that have occurred, and then you're not recreating. That seems very basic, but we do compare from prior budget, approved budget, to the next budget. What has changed? Did they address it? Does this make sense? And if you allocate it, if you set that up at the beginning and you get something approved, then you're just using that approved document to resubmit with the update, not recreate. It would be nice if we actually had that template. I think it should go on our to-do, honestly.</w:t>
      </w:r>
    </w:p>
    <w:p w14:paraId="5A2D74C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Ingrid N. Schonfield:</w:t>
      </w:r>
    </w:p>
    <w:p w14:paraId="1CE6221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Yep, it's on it. Yeah, I think that's a great idea. Thank you so much, Jen. And Jeff, do you have anything you want to weigh in on? Do you want to weigh in on Mike's comment? And if not, that's fine.</w:t>
      </w:r>
    </w:p>
    <w:p w14:paraId="43B72C8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Jeff Ryan:</w:t>
      </w:r>
    </w:p>
    <w:p w14:paraId="653495F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was just thinking similar to what Jen was talking about, which is anything you're changing, particularly in increments, it doesn't necessarily work for a new application in this context. But if you're submitting an increment request or another mod, is using the original application form and highlighting whatever is new, so it's very clear what you had originally proposed and what the changes are, rather than developing a new application form or a modification form. I assume California already does that, so it's probably not super helpful. But it's also easier for us, if we open a page and there's yellow highlighted text, we know what's new, we don't have to search for it. As much as it lowers the burden on you guys, it also helps us do it more quickly. Anything that you can do to help us, we really appreciate it.</w:t>
      </w:r>
    </w:p>
    <w:p w14:paraId="2D699A1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4749462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I think also, I mean it would be great if we had live grant agreements, so once we approve it, it's static and we have that snapshot, but then it's still available so you can add the changes and just submit. Grant solutions, love it or hate it, is getting to the point where you're going to have more direct communication with us, and direct access to your file. They have the adjustment worksheet for your budget, and that answers most of our questions, because you can see it. You just provide one sentence.</w:t>
      </w:r>
    </w:p>
    <w:p w14:paraId="6114882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biggest thing is work on brevity. Don't give us too much information. I know that's kind of a skill. We want enough information to align it to your project narrative, and your statement of work, but we don't want more information. We don't want your carryover information, or that kind of thing. Keep it simple. Also, if you're doing the enrollment and expenditure sheets, you don't have to break down all of the supportive services. You've already done that. You can just say supportive services. We know they're allowable, you've done the attestations, your FPO's going to check that. Chunk it, definitely chunk it. Supplies, chunk your supplies. And we're not looking for the cost per pencil. You can chunk that as well.</w:t>
      </w:r>
    </w:p>
    <w:p w14:paraId="6BB7248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Equipment is a must have unfortunately, because that can be exhaustive too. But most people don't have a lot of equipment or IT stuff. Again, this is a planning document, so we need to know how you came up with the numbers, and we need some calculations that generally will add up reasonably within that 10%. But you guys know what your numbers look like. Your justification, those numbers don't have to be actuals from the prior year. You're saying this is our average cost per year. We understand that. You can say approximate, you don't have to tell us what your actuals were. That's what the FPO does. We're just looking for the high level stuff, and enough information to say, yeah, this is a allowable.</w:t>
      </w:r>
    </w:p>
    <w:p w14:paraId="6C01B81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Also, application. You see, if you come in for modifications and the increments, we do need to come up with, I know, the incremental suggested application. I think that would help with this live thing. Ideally, now that we're brainstorming, because that's what this turned into, ideally we would send with your NOA, here is the application for submitting an increment, and with a prefilled budget. You would literally just make changes to the sections that changed with your increment, providing us with an updated justification needs, et cetera. And that would be so much easier, because you just send us the sections that need to be updated. And if nothing else needs to be updated, you say, "These are the only sections that need to be updated." And we're getting there. It's slow, but I keep having conversation with your FPOs and regional offices, and we're working towards it. And it's a dialogue, so I appreciate that.</w:t>
      </w:r>
    </w:p>
    <w:p w14:paraId="18FF60C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Ingrid N. Schonfield:</w:t>
      </w:r>
    </w:p>
    <w:p w14:paraId="1830B53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Yeah. And the good news is we can update these things. It takes a little time, but we can. And Jen, it sounds like you may have already seen and responded to, at least in part, Mike's </w:t>
      </w:r>
      <w:proofErr w:type="spellStart"/>
      <w:r>
        <w:rPr>
          <w:rFonts w:ascii="Calibri" w:eastAsia="Calibri" w:hAnsi="Calibri" w:cs="Calibri"/>
          <w:color w:val="000000"/>
          <w:sz w:val="22"/>
        </w:rPr>
        <w:t>followup</w:t>
      </w:r>
      <w:proofErr w:type="spellEnd"/>
      <w:r>
        <w:rPr>
          <w:rFonts w:ascii="Calibri" w:eastAsia="Calibri" w:hAnsi="Calibri" w:cs="Calibri"/>
          <w:color w:val="000000"/>
          <w:sz w:val="22"/>
        </w:rPr>
        <w:t xml:space="preserve"> note about in addition to.... they're doing what you've suggested, with doing the color coding and highlighting the track changes. Did you see the second note there about any chance of eliminating the need to do the application for the full grant award?</w:t>
      </w:r>
    </w:p>
    <w:p w14:paraId="1FA3FF2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718059A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need to do an application for the full grant award just to submit a modification immediately, for whatever the first increment is. I'm not sure I understand that. Eliminating the need to do an application for the full...</w:t>
      </w:r>
    </w:p>
    <w:p w14:paraId="63FC376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Jeff Ryan:</w:t>
      </w:r>
    </w:p>
    <w:p w14:paraId="5DE56AA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Jen, this is what we've talked about a lot, about you submit a full application for $10 million, and then immediately are told to redo everything for 3 million.</w:t>
      </w:r>
    </w:p>
    <w:p w14:paraId="4539E136"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5881AC3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so you don't have to do that </w:t>
      </w:r>
      <w:proofErr w:type="spellStart"/>
      <w:r>
        <w:rPr>
          <w:rFonts w:ascii="Calibri" w:eastAsia="Calibri" w:hAnsi="Calibri" w:cs="Calibri"/>
          <w:color w:val="000000"/>
          <w:sz w:val="22"/>
        </w:rPr>
        <w:t>any more</w:t>
      </w:r>
      <w:proofErr w:type="spellEnd"/>
      <w:r>
        <w:rPr>
          <w:rFonts w:ascii="Calibri" w:eastAsia="Calibri" w:hAnsi="Calibri" w:cs="Calibri"/>
          <w:color w:val="000000"/>
          <w:sz w:val="22"/>
        </w:rPr>
        <w:t>.</w:t>
      </w:r>
    </w:p>
    <w:p w14:paraId="01B8540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Jeff Ryan:</w:t>
      </w:r>
    </w:p>
    <w:p w14:paraId="177D7F0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That concept, yeah.</w:t>
      </w:r>
    </w:p>
    <w:p w14:paraId="447EA5C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49ABA92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 don't actually have to do that anymore. That's actually what... I obviously was not clear. The initial application should address what you intend to do for the full period of performance. And then you can address in the budget narrative what you are going to use the first increment for. And then when you come in for the next increment, you provide an update that says, "This is what we did with the first increment. And now this is what we're going to do, which feeds into our overall plan. You shouldn't have to do a full application after we decrease your amount, because this is built into the TEGL that we're going to award incrementally. So you're telling us the big picture, you're planning within the suggested application for the increment. And we're just saying during the determination period, can you clarify these pieces? And just send us, and by send us, I mean literally email your FPO and they send it to us, the revised SF-424 and SF-424A to align with what you've already planned in your budget narrative for the first increment.</w:t>
      </w:r>
    </w:p>
    <w:p w14:paraId="5985046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quite honestly, I think in some cases you might have more or less, depending on our conversations that occur post-application. And you can literally just do the adjustment, because we know you don't know. You just make the adjustment the percentage up or down across the board, and say, adjust it according to meet the 40%, or whatever the percent, 50% or whatever it is. And we will say, okay, we know this is planning. And when you come in for your next increment, you'll give us the updates. Does that help? We want to be helpful.</w:t>
      </w:r>
    </w:p>
    <w:p w14:paraId="5F07997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Ingrid N. Schonfield:</w:t>
      </w:r>
    </w:p>
    <w:p w14:paraId="4197828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we'll let folks give a chance to respond to that question, of if this is helpful? And while folks are considering that, let's turn to another question that came in. Which asks, "In the allocation to sub-recipient, we use the DW allocation formula, or will it be determined by local area needs?" I think there's a should missing there. Should we use the DW allocation formula or should it be determined by </w:t>
      </w:r>
      <w:r>
        <w:rPr>
          <w:rFonts w:ascii="Calibri" w:eastAsia="Calibri" w:hAnsi="Calibri" w:cs="Calibri"/>
          <w:color w:val="000000"/>
          <w:sz w:val="22"/>
        </w:rPr>
        <w:lastRenderedPageBreak/>
        <w:t>local area needs? That's my interpretation. Renee, if I didn't interpret it correctly, please correct me in the chat. Any thoughts on that, Jen?</w:t>
      </w:r>
    </w:p>
    <w:p w14:paraId="6C788C5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67AD41D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is up to your state. We don't dictate, these are emergency awards. Is it equitable? If one is more severely impacted, does it make sense that they follow the same formula? You determine that, we don't determine that. There's flexibility with how you do that, and you have to work within your state to follow your policies. And if your policies are not working, we don't get involved. We allow you to make those decisions for yourselves.</w:t>
      </w:r>
    </w:p>
    <w:p w14:paraId="7CC2E92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Ingrid N. Schonfield:</w:t>
      </w:r>
    </w:p>
    <w:p w14:paraId="5C76A10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I might just add, this reminds me of our discussion on Wednesday about the community needs assessment, that Jeff walked through in some good detail. I think that should probably inform what the allocations might be, hopefully.</w:t>
      </w:r>
    </w:p>
    <w:p w14:paraId="4E0B93A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2D2D5EC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expect that it will. We go into it with the assumption that you are allocating based on the greatest need, Because that's part of WIOA. You are supposed to prioritize the areas with the greatest need. And so, we expect that that's what you're doing. If you are not meeting that requirement, you need to discuss that amongst yourselves, and decide how you do that and what needs to change in order to meet that requirement.</w:t>
      </w:r>
    </w:p>
    <w:p w14:paraId="409955E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Ingrid N. Schonfield:</w:t>
      </w:r>
    </w:p>
    <w:p w14:paraId="55814A7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Great. Thank you so much. I am just checking to see if there's any more questions that folks have, or comments. I don't think I've seen anything come into the chat. In terms of the chat questions that are still on the screen, if there's anything that struck you, anything you learned, anything else you want to know? Anything else you want to pose to our fantastically skilled presenters today? Now is the time. And Mike has some </w:t>
      </w:r>
      <w:proofErr w:type="spellStart"/>
      <w:r>
        <w:rPr>
          <w:rFonts w:ascii="Calibri" w:eastAsia="Calibri" w:hAnsi="Calibri" w:cs="Calibri"/>
          <w:color w:val="000000"/>
          <w:sz w:val="22"/>
        </w:rPr>
        <w:t>followup</w:t>
      </w:r>
      <w:proofErr w:type="spellEnd"/>
      <w:r>
        <w:rPr>
          <w:rFonts w:ascii="Calibri" w:eastAsia="Calibri" w:hAnsi="Calibri" w:cs="Calibri"/>
          <w:color w:val="000000"/>
          <w:sz w:val="22"/>
        </w:rPr>
        <w:t xml:space="preserve"> comments in the chat, Jen.</w:t>
      </w:r>
    </w:p>
    <w:p w14:paraId="5C11D4D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331F761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I would have to look. This is very specific. I would have to look at the grant file, but my guess is that the SF-424 and SF-424A, if they had to be resubmitted, had to reflect the one third. That's the only time we really request that, unless there's some calculation error. Lots of duplicated work. If that's happening, let's have a call. Ask your FPO to have a call, and let's walk through your application and let's see how we can streamline it. [inaudible 01:28:19]. Yeah, that sounds like a lot of work. And we don't require sub-awardees to do that. These are estimates. You can literally say 10%. Don't waste time trying to guess what we're talking about, or if you disagree or something's an issue. Talk to your FPO, and then let's have a call. We're reasonable people. Honestly, all we're trying to do is get a complete file to support you, and support our decision, so we're all in line. And so none of us have to do audits. We all have to do audits, but so we don't have to [inaudible 01:29:02].</w:t>
      </w:r>
    </w:p>
    <w:p w14:paraId="5901B0A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Ingrid N. Schonfield:</w:t>
      </w:r>
    </w:p>
    <w:p w14:paraId="30E3239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Or be audited, painfully by our friends, yes, at OIG. Wonderful. Well, I am not seeing any more questions coming in, or any responses to my thoughtfully crafted chat questions. I'm very sad about that.</w:t>
      </w:r>
    </w:p>
    <w:p w14:paraId="14D9AD7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Samantha Doak:</w:t>
      </w:r>
    </w:p>
    <w:p w14:paraId="7DE0F5B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Also, work together. You guys, states, talk to other states, see what you're doing, compare notes. Because if you're all doing the same thing, our job is so easy. Anyway, I'll mute.</w:t>
      </w:r>
    </w:p>
    <w:p w14:paraId="3A3E4F0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Ingrid N. Schonfield:</w:t>
      </w:r>
    </w:p>
    <w:p w14:paraId="0369D32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 no. You're doing great. Let us move on. We were hoping to get some input from you all on what else might be of interest. What else are you wondering about in terms of National Dislocated Worker Grants in general, Disaster Recovery Grants specifically, even Employment Recovery DWG grants? Because we are setting up some office hours coming soon in July. We'd love it if you'd let your Federal Project Officer know any themes or topics you'd like to have us cover. A few proposed themes that we've heard from some of our current grantees and regional office folks, are on the screen there. But we are open to all things. Because as Jen so vividly mentioned multiple times, we are here to support you in the incredibly important and hard work that you do.</w:t>
      </w:r>
    </w:p>
    <w:p w14:paraId="0DD52C79" w14:textId="77777777" w:rsidR="00A77B3E" w:rsidRDefault="00000000">
      <w:pPr>
        <w:spacing w:before="600" w:beforeAutospacing="1" w:afterAutospacing="1"/>
        <w:jc w:val="center"/>
        <w:rPr>
          <w:rFonts w:ascii="Calibri" w:eastAsia="Calibri" w:hAnsi="Calibri" w:cs="Calibri"/>
          <w:color w:val="000000"/>
          <w:sz w:val="22"/>
        </w:rPr>
      </w:pPr>
      <w:r>
        <w:rPr>
          <w:rFonts w:ascii="Calibri" w:eastAsia="Calibri" w:hAnsi="Calibri" w:cs="Calibri"/>
          <w:color w:val="000000"/>
          <w:sz w:val="22"/>
        </w:rPr>
        <w:t>PART 4 OF 4 ENDS [01:30:29]</w:t>
      </w:r>
    </w:p>
    <w:p w14:paraId="4617DA20" w14:textId="77777777" w:rsidR="00A77B3E" w:rsidRDefault="00A77B3E">
      <w:pPr>
        <w:spacing w:before="80"/>
        <w:rPr>
          <w:rFonts w:ascii="Calibri" w:eastAsia="Calibri" w:hAnsi="Calibri" w:cs="Calibri"/>
          <w:color w:val="000000"/>
          <w:sz w:val="22"/>
        </w:rPr>
      </w:pPr>
    </w:p>
    <w:sectPr w:rsidR="00A77B3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D19CF" w14:textId="77777777" w:rsidR="002F295F" w:rsidRDefault="002F295F">
      <w:r>
        <w:separator/>
      </w:r>
    </w:p>
  </w:endnote>
  <w:endnote w:type="continuationSeparator" w:id="0">
    <w:p w14:paraId="03738BBE" w14:textId="77777777" w:rsidR="002F295F" w:rsidRDefault="002F2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CCE2F" w14:textId="77777777" w:rsidR="0018023B" w:rsidRDefault="001802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8"/>
      <w:gridCol w:w="1408"/>
    </w:tblGrid>
    <w:tr w:rsidR="00092B44" w14:paraId="3C6C707A" w14:textId="77777777">
      <w:tc>
        <w:tcPr>
          <w:tcW w:w="4000" w:type="pct"/>
          <w:tcBorders>
            <w:top w:val="nil"/>
            <w:left w:val="nil"/>
            <w:bottom w:val="nil"/>
            <w:right w:val="nil"/>
          </w:tcBorders>
          <w:noWrap/>
        </w:tcPr>
        <w:p w14:paraId="7964A6A0" w14:textId="2BC20295" w:rsidR="0018023B" w:rsidRDefault="0018023B">
          <w:r w:rsidRPr="0018023B">
            <w:t xml:space="preserve">Demystifying Disaster Recovery DWG Applications: Part 2 Budget, </w:t>
          </w:r>
          <w:r w:rsidRPr="0018023B">
            <w:t>Enrollment</w:t>
          </w:r>
          <w:r>
            <w:t>…</w:t>
          </w:r>
        </w:p>
        <w:p w14:paraId="5C4F2848" w14:textId="43E31335" w:rsidR="00092B44" w:rsidRDefault="00000000">
          <w:r>
            <w:t xml:space="preserve">Transcript by </w:t>
          </w:r>
          <w:hyperlink r:id="rId1" w:history="1">
            <w:r>
              <w:rPr>
                <w:color w:val="0000FF"/>
                <w:u w:val="single"/>
              </w:rPr>
              <w:t>Rev.com</w:t>
            </w:r>
          </w:hyperlink>
        </w:p>
      </w:tc>
      <w:tc>
        <w:tcPr>
          <w:tcW w:w="1000" w:type="pct"/>
          <w:tcBorders>
            <w:top w:val="nil"/>
            <w:left w:val="nil"/>
            <w:bottom w:val="nil"/>
            <w:right w:val="nil"/>
          </w:tcBorders>
          <w:noWrap/>
        </w:tcPr>
        <w:p w14:paraId="63C94BC3" w14:textId="77777777" w:rsidR="00092B44" w:rsidRDefault="00000000">
          <w:pPr>
            <w:jc w:val="right"/>
          </w:pPr>
          <w:r>
            <w:t xml:space="preserve">Page </w:t>
          </w:r>
          <w:r>
            <w:fldChar w:fldCharType="begin"/>
          </w:r>
          <w:r>
            <w:instrText>PAGE</w:instrText>
          </w:r>
          <w:r>
            <w:fldChar w:fldCharType="separate"/>
          </w:r>
          <w:r w:rsidR="0018023B">
            <w:rPr>
              <w:noProof/>
            </w:rPr>
            <w:t>1</w:t>
          </w:r>
          <w:r>
            <w:fldChar w:fldCharType="end"/>
          </w:r>
          <w:r>
            <w:t xml:space="preserve"> of </w:t>
          </w:r>
          <w:r>
            <w:fldChar w:fldCharType="begin"/>
          </w:r>
          <w:r>
            <w:instrText>NUMPAGES</w:instrText>
          </w:r>
          <w:r>
            <w:fldChar w:fldCharType="separate"/>
          </w:r>
          <w:r w:rsidR="0018023B">
            <w:rPr>
              <w:noProof/>
            </w:rPr>
            <w:t>2</w:t>
          </w:r>
          <w:r>
            <w:fldChar w:fldCharType="end"/>
          </w:r>
        </w:p>
      </w:tc>
    </w:tr>
  </w:tbl>
  <w:p w14:paraId="2723BCBB" w14:textId="77777777" w:rsidR="00092B44" w:rsidRDefault="00092B4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80A60" w14:textId="77777777" w:rsidR="0018023B" w:rsidRDefault="001802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70399" w14:textId="77777777" w:rsidR="002F295F" w:rsidRDefault="002F295F">
      <w:r>
        <w:separator/>
      </w:r>
    </w:p>
  </w:footnote>
  <w:footnote w:type="continuationSeparator" w:id="0">
    <w:p w14:paraId="4F07F8CF" w14:textId="77777777" w:rsidR="002F295F" w:rsidRDefault="002F2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23212" w14:textId="77777777" w:rsidR="0018023B" w:rsidRDefault="001802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8"/>
    </w:tblGrid>
    <w:tr w:rsidR="00092B44" w14:paraId="194F3C98" w14:textId="77777777">
      <w:tc>
        <w:tcPr>
          <w:tcW w:w="5000" w:type="pct"/>
          <w:tcBorders>
            <w:top w:val="nil"/>
            <w:left w:val="nil"/>
            <w:bottom w:val="nil"/>
            <w:right w:val="nil"/>
          </w:tcBorders>
          <w:noWrap/>
        </w:tcPr>
        <w:p w14:paraId="72DCD443" w14:textId="77777777" w:rsidR="00092B44" w:rsidRDefault="0018023B">
          <w:pPr>
            <w:rPr>
              <w:color w:val="808080"/>
            </w:rPr>
          </w:pPr>
          <w:r w:rsidRPr="0018023B">
            <w:rPr>
              <w:color w:val="808080"/>
            </w:rPr>
            <w:t>Demystifying Disaster Recovery DWG Applications: Part 2 –Budget, Enrollment, and Expenditure Plans</w:t>
          </w:r>
        </w:p>
        <w:p w14:paraId="443AA816" w14:textId="5A16F3F5" w:rsidR="0018023B" w:rsidRDefault="0018023B">
          <w:pPr>
            <w:rPr>
              <w:color w:val="000000"/>
            </w:rPr>
          </w:pPr>
          <w:r>
            <w:rPr>
              <w:color w:val="808080"/>
            </w:rPr>
            <w:t>06/23/23</w:t>
          </w:r>
        </w:p>
      </w:tc>
    </w:tr>
  </w:tbl>
  <w:p w14:paraId="0FD45C94" w14:textId="77777777" w:rsidR="00092B44" w:rsidRDefault="00092B4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8CCAE" w14:textId="77777777" w:rsidR="0018023B" w:rsidRDefault="001802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92B44"/>
    <w:rsid w:val="0018023B"/>
    <w:rsid w:val="002F295F"/>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810C5A3"/>
  <w15:docId w15:val="{F027BA3C-41EE-4835-A751-102782EEB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8023B"/>
    <w:pPr>
      <w:tabs>
        <w:tab w:val="center" w:pos="4680"/>
        <w:tab w:val="right" w:pos="9360"/>
      </w:tabs>
    </w:pPr>
  </w:style>
  <w:style w:type="character" w:customStyle="1" w:styleId="HeaderChar">
    <w:name w:val="Header Char"/>
    <w:basedOn w:val="DefaultParagraphFont"/>
    <w:link w:val="Header"/>
    <w:rsid w:val="0018023B"/>
    <w:rPr>
      <w:sz w:val="24"/>
      <w:szCs w:val="24"/>
    </w:rPr>
  </w:style>
  <w:style w:type="paragraph" w:styleId="Footer">
    <w:name w:val="footer"/>
    <w:basedOn w:val="Normal"/>
    <w:link w:val="FooterChar"/>
    <w:rsid w:val="0018023B"/>
    <w:pPr>
      <w:tabs>
        <w:tab w:val="center" w:pos="4680"/>
        <w:tab w:val="right" w:pos="9360"/>
      </w:tabs>
    </w:pPr>
  </w:style>
  <w:style w:type="character" w:customStyle="1" w:styleId="FooterChar">
    <w:name w:val="Footer Char"/>
    <w:basedOn w:val="DefaultParagraphFont"/>
    <w:link w:val="Footer"/>
    <w:rsid w:val="0018023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11904</Words>
  <Characters>56427</Characters>
  <Application>Microsoft Office Word</Application>
  <DocSecurity>0</DocSecurity>
  <Lines>752</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Lisa Harrison</cp:lastModifiedBy>
  <cp:revision>2</cp:revision>
  <dcterms:created xsi:type="dcterms:W3CDTF">2023-06-29T21:13:00Z</dcterms:created>
  <dcterms:modified xsi:type="dcterms:W3CDTF">2023-06-29T21:14:00Z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5a7f2d044ec484058a45b11b22961c3fe928242c4e38e8cfa1b446eb7dd1fad1</vt:lpwstr>
  </property>
</Properties>
</file>