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p/>
    <w:p/>
    <w:p/>
    <w:p/>
    <w:p/>
    <w:p>
      <w:pPr>
        <w:jc w:val="center"/>
        <w:rPr>
          <w:b/>
          <w:sz w:val="36"/>
        </w:rPr>
      </w:pPr>
      <w:r>
        <w:rPr>
          <w:b/>
          <w:sz w:val="36"/>
        </w:rPr>
        <w:t>WorkforceGPS</w:t>
      </w:r>
    </w:p>
    <w:p>
      <w:pPr>
        <w:jc w:val="center"/>
        <w:rPr>
          <w:b/>
          <w:sz w:val="28"/>
        </w:rPr>
      </w:pPr>
    </w:p>
    <w:p>
      <w:pPr>
        <w:jc w:val="center"/>
        <w:rPr>
          <w:b/>
          <w:sz w:val="28"/>
        </w:rPr>
      </w:pPr>
      <w:r>
        <w:rPr>
          <w:b/>
          <w:sz w:val="28"/>
        </w:rPr>
        <w:t>Voices of Experience</w:t>
      </w:r>
    </w:p>
    <w:p>
      <w:pPr>
        <w:jc w:val="center"/>
        <w:rPr>
          <w:b/>
          <w:sz w:val="28"/>
        </w:rPr>
      </w:pPr>
    </w:p>
    <w:p>
      <w:pPr>
        <w:jc w:val="center"/>
        <w:rPr>
          <w:b/>
          <w:sz w:val="28"/>
        </w:rPr>
      </w:pPr>
      <w:r>
        <w:rPr>
          <w:b/>
          <w:sz w:val="28"/>
        </w:rPr>
        <w:t>Digital Divide Innovations Part 2</w:t>
      </w:r>
    </w:p>
    <w:p>
      <w:pPr>
        <w:jc w:val="center"/>
        <w:rPr>
          <w:b/>
          <w:sz w:val="28"/>
        </w:rPr>
      </w:pPr>
    </w:p>
    <w:p>
      <w:pPr>
        <w:jc w:val="center"/>
        <w:rPr>
          <w:b/>
          <w:sz w:val="28"/>
        </w:rPr>
      </w:pPr>
    </w:p>
    <w:p>
      <w:pPr>
        <w:jc w:val="center"/>
      </w:pPr>
    </w:p>
    <w:p>
      <w:pPr>
        <w:jc w:val="center"/>
      </w:pPr>
    </w:p>
    <w:p>
      <w:pPr>
        <w:jc w:val="center"/>
      </w:pPr>
    </w:p>
    <w:p>
      <w:pPr>
        <w:jc w:val="center"/>
      </w:pPr>
    </w:p>
    <w:p/>
    <w:p/>
    <w:p/>
    <w:p>
      <w:pPr>
        <w:tabs>
          <w:tab w:val="left" w:pos="2920"/>
        </w:tabs>
      </w:pPr>
    </w:p>
    <w:p>
      <w:pPr>
        <w:tabs>
          <w:tab w:val="left" w:pos="2920"/>
        </w:tabs>
      </w:pPr>
    </w:p>
    <w:p>
      <w:pPr>
        <w:tabs>
          <w:tab w:val="left" w:pos="2920"/>
        </w:tabs>
      </w:pPr>
    </w:p>
    <w:p/>
    <w:p/>
    <w:p/>
    <w:p/>
    <w:p/>
    <w:p/>
    <w:p/>
    <w:p/>
    <w:p/>
    <w:p/>
    <w:p/>
    <w:p>
      <w:pPr>
        <w:jc w:val="center"/>
        <w:rPr>
          <w:i/>
        </w:rPr>
      </w:pPr>
      <w:r>
        <w:rPr>
          <w:i/>
        </w:rPr>
        <w:t>Transcript by</w:t>
      </w:r>
    </w:p>
    <w:p>
      <w:pPr>
        <w:jc w:val="center"/>
        <w:rPr>
          <w:i/>
        </w:rPr>
      </w:pPr>
      <w:r>
        <w:rPr>
          <w:i/>
        </w:rPr>
        <w:t>Noble Transcription Services</w:t>
      </w:r>
    </w:p>
    <w:p>
      <w:pPr>
        <w:jc w:val="center"/>
        <w:rPr>
          <w:i/>
        </w:rPr>
      </w:pPr>
      <w:r>
        <w:rPr>
          <w:i/>
        </w:rPr>
        <w:t>Menifee, CA</w:t>
      </w:r>
    </w:p>
    <w:p/>
    <w:p/>
    <w:p/>
    <w:p>
      <w:pPr>
        <w:rPr>
          <w:b/>
        </w:rPr>
      </w:pPr>
      <w:r>
        <w:rPr>
          <w:b/>
        </w:rPr>
        <w:t>Funding Digital Access</w:t>
      </w:r>
    </w:p>
    <w:p/>
    <w:p>
      <w:r>
        <w:t>Candelaria Mendoza: Yes. So, you know, some of these smaller strategies that we were able to work with, I know we work with our VIAs who have Wi-Fi on the buses and and they work with our San Antonio housing authorities to park at the SAHA sites and, again, provide free public Wi-Fi to the families that live there; a</w:t>
      </w:r>
      <w:r>
        <w:t>g</w:t>
      </w:r>
      <w:r>
        <w:t>ain, trying to put equity within the conversation of where do we need to go understanding that we didn't have resources for everything.</w:t>
      </w:r>
    </w:p>
    <w:p/>
    <w:p>
      <w:r>
        <w:t>So there were definitely projects like that that people kind of pull from their budgets to make happen for for smaller audiences. But, yes, the city of San Antonio, like many local municipalities, received CARES ACT dollars. For us it was a little over $270 million. And with the guidance of our city council, they wanted basically what we called the recovery and resiliency plan.</w:t>
      </w:r>
    </w:p>
    <w:p/>
    <w:p>
      <w:r>
        <w:t>So at the foundation, it was like, what can we do to ensure that we kind of stay above water during this pandemic? We need to figure out what the foundational pieces are of ensuring that people have homes, people have access to what they need and resources to ensure that we're kind of at a better state so that we can build off of it once we get out of this pandemic.</w:t>
      </w:r>
    </w:p>
    <w:p/>
    <w:p>
      <w:pPr>
        <w:rPr>
          <w:b/>
        </w:rPr>
      </w:pPr>
      <w:r>
        <w:rPr>
          <w:b/>
        </w:rPr>
        <w:t>Recovery and Resiliency Plan</w:t>
      </w:r>
    </w:p>
    <w:p/>
    <w:p>
      <w:r>
        <w:t xml:space="preserve">So the recovery and resiliency plan offered packages. Each of the departments </w:t>
      </w:r>
      <w:proofErr w:type="gramStart"/>
      <w:r>
        <w:t>were</w:t>
      </w:r>
      <w:proofErr w:type="gramEnd"/>
      <w:r>
        <w:t xml:space="preserve"> challenged to submit proposals either with affordable housing, workforce development, health, and digital inclusion was one of the pillars. And so the city of San Antonio, in collaboration with partners and the alliance and our IT built a proposal on building a Connected </w:t>
      </w:r>
      <w:proofErr w:type="gramStart"/>
      <w:r>
        <w:t>Beyond</w:t>
      </w:r>
      <w:proofErr w:type="gramEnd"/>
      <w:r>
        <w:t xml:space="preserve"> the Classroom network.</w:t>
      </w:r>
    </w:p>
    <w:p/>
    <w:p>
      <w:r>
        <w:t xml:space="preserve">So this one, this particular project was solely for students, as we did the distance learning; but we were able again to leverage CARES ACT dollars to build some of those proposals. There was also, of course, the workforce development, </w:t>
      </w:r>
      <w:proofErr w:type="spellStart"/>
      <w:r>
        <w:t>SAWorks</w:t>
      </w:r>
      <w:proofErr w:type="spellEnd"/>
      <w:proofErr w:type="gramStart"/>
      <w:r>
        <w:t>!,</w:t>
      </w:r>
      <w:proofErr w:type="gramEnd"/>
      <w:r>
        <w:t xml:space="preserve"> SA Ready for Work, and we were able to build that workforce development program as well to help with training. All those people that potentially fo</w:t>
      </w:r>
      <w:bookmarkStart w:id="0" w:name="_GoBack"/>
      <w:bookmarkEnd w:id="0"/>
      <w:r>
        <w:t>und themselves unemployed could pull and maybe take an opportunity to do ups</w:t>
      </w:r>
      <w:r>
        <w:t>killing</w:t>
      </w:r>
      <w:r>
        <w:t xml:space="preserve">, do some training, </w:t>
      </w:r>
      <w:proofErr w:type="gramStart"/>
      <w:r>
        <w:t>get</w:t>
      </w:r>
      <w:proofErr w:type="gramEnd"/>
      <w:r>
        <w:t xml:space="preserve"> a certification and tuition reimbursement. So there was a program that they could sign up for and kind of build up their skills and the hopes to improve and get a better job in the future.</w:t>
      </w:r>
    </w:p>
    <w:p/>
    <w:p>
      <w:r>
        <w:t xml:space="preserve">So there were some really, really great programs that allowed us to to do a lot in the digital inclusion workforce development space and also in our rental assistance program. Paying for the Internet was one of the items that we were able to do as well for families that qualify for that program. </w:t>
      </w:r>
      <w:proofErr w:type="gramStart"/>
      <w:r>
        <w:t>So all of that was supported with CARES ACT dollars.</w:t>
      </w:r>
      <w:proofErr w:type="gramEnd"/>
      <w:r>
        <w:t xml:space="preserve"> Our project with the Connected </w:t>
      </w:r>
      <w:proofErr w:type="gramStart"/>
      <w:r>
        <w:t>Beyond</w:t>
      </w:r>
      <w:proofErr w:type="gramEnd"/>
      <w:r>
        <w:t xml:space="preserve"> the Classroom was a very heavy technical project, so we actually received general funds.</w:t>
      </w:r>
    </w:p>
    <w:p/>
    <w:p>
      <w:pPr>
        <w:rPr>
          <w:b/>
        </w:rPr>
      </w:pPr>
      <w:r>
        <w:rPr>
          <w:b/>
        </w:rPr>
        <w:t>Connected Beyond the Classroom</w:t>
      </w:r>
    </w:p>
    <w:p/>
    <w:p>
      <w:r>
        <w:lastRenderedPageBreak/>
        <w:t>But again, we were able to leverage those $270 million to open up spaces in our general funds. Just to give us a little bit more time, because that project is more of a long-term solution. We're not going to be able to get kids connected right away, but we're building a system that we're hoping that will future-proof for students in the future. So we're looking at connecting 20,000 students from the comfort of their homes and then making them logging on as if they were on campus.</w:t>
      </w:r>
    </w:p>
    <w:p/>
    <w:p>
      <w:r>
        <w:t xml:space="preserve">So they'll have the same filtering and security features as if they were logging on on their school </w:t>
      </w:r>
      <w:proofErr w:type="gramStart"/>
      <w:r>
        <w:t>campus, that</w:t>
      </w:r>
      <w:proofErr w:type="gramEnd"/>
      <w:r>
        <w:t xml:space="preserve"> it'll be from the comfort of their home. So we're really excited about that project. We're kind of in the mix of the pilot right now, doing some lessons learned, and we're hoping that'll inform future projects for the city as well as maybe, of course, at the state. We've already been talking to Austin and Houston about what they're doing and so sharing lessons learned.</w:t>
      </w:r>
    </w:p>
    <w:p>
      <w:pPr>
        <w:rPr>
          <w:rFonts w:eastAsia="Calibri"/>
          <w:color w:val="000000"/>
        </w:rPr>
      </w:pPr>
    </w:p>
    <w:sectPr>
      <w:footerReference w:type="defaul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altName w:val="Device Font 10cpi"/>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Device Font 10cpi"/>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altName w:val="Device Font 10cpi"/>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bCs/>
        <w:sz w:val="16"/>
        <w:szCs w:val="20"/>
      </w:rPr>
    </w:pPr>
    <w:r>
      <w:rPr>
        <w:bCs/>
        <w:sz w:val="16"/>
        <w:szCs w:val="20"/>
      </w:rPr>
      <w:t>Voices of Experience - Digital Divide Innovations Part 2</w:t>
    </w:r>
    <w:r>
      <w:rPr>
        <w:sz w:val="16"/>
        <w:szCs w:val="20"/>
      </w:rPr>
      <w:tab/>
    </w:r>
    <w:r>
      <w:rPr>
        <w:sz w:val="16"/>
        <w:szCs w:val="20"/>
      </w:rPr>
      <w:tab/>
      <w:t xml:space="preserve">Page </w:t>
    </w:r>
    <w:r>
      <w:rPr>
        <w:rStyle w:val="PageNumber"/>
        <w:sz w:val="16"/>
        <w:szCs w:val="20"/>
      </w:rPr>
      <w:fldChar w:fldCharType="begin"/>
    </w:r>
    <w:r>
      <w:rPr>
        <w:rStyle w:val="PageNumber"/>
        <w:sz w:val="16"/>
        <w:szCs w:val="20"/>
      </w:rPr>
      <w:instrText xml:space="preserve"> PAGE </w:instrText>
    </w:r>
    <w:r>
      <w:rPr>
        <w:rStyle w:val="PageNumber"/>
        <w:sz w:val="16"/>
        <w:szCs w:val="20"/>
      </w:rPr>
      <w:fldChar w:fldCharType="separate"/>
    </w:r>
    <w:r>
      <w:rPr>
        <w:rStyle w:val="PageNumber"/>
        <w:noProof/>
        <w:sz w:val="16"/>
        <w:szCs w:val="20"/>
      </w:rPr>
      <w:t>2</w:t>
    </w:r>
    <w:r>
      <w:rPr>
        <w:rStyle w:val="PageNumber"/>
        <w:sz w:val="16"/>
        <w:szCs w:val="20"/>
      </w:rPr>
      <w:fldChar w:fldCharType="end"/>
    </w:r>
    <w:r>
      <w:rPr>
        <w:rStyle w:val="PageNumber"/>
        <w:sz w:val="16"/>
        <w:szCs w:val="20"/>
      </w:rPr>
      <w:t xml:space="preserve"> of </w:t>
    </w:r>
    <w:r>
      <w:rPr>
        <w:rStyle w:val="PageNumber"/>
        <w:sz w:val="16"/>
        <w:szCs w:val="20"/>
      </w:rPr>
      <w:fldChar w:fldCharType="begin"/>
    </w:r>
    <w:r>
      <w:rPr>
        <w:rStyle w:val="PageNumber"/>
        <w:sz w:val="16"/>
        <w:szCs w:val="20"/>
      </w:rPr>
      <w:instrText xml:space="preserve"> NUMPAGES </w:instrText>
    </w:r>
    <w:r>
      <w:rPr>
        <w:rStyle w:val="PageNumber"/>
        <w:sz w:val="16"/>
        <w:szCs w:val="20"/>
      </w:rPr>
      <w:fldChar w:fldCharType="separate"/>
    </w:r>
    <w:r>
      <w:rPr>
        <w:rStyle w:val="PageNumber"/>
        <w:noProof/>
        <w:sz w:val="16"/>
        <w:szCs w:val="20"/>
      </w:rPr>
      <w:t>3</w:t>
    </w:r>
    <w:r>
      <w:rPr>
        <w:rStyle w:val="PageNumber"/>
        <w:sz w:val="16"/>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7"/>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394283748">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49696789">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54731546">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83718164">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29795487">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00762861">
      <w:bodyDiv w:val="1"/>
      <w:marLeft w:val="0"/>
      <w:marRight w:val="0"/>
      <w:marTop w:val="0"/>
      <w:marBottom w:val="0"/>
      <w:divBdr>
        <w:top w:val="none" w:sz="0" w:space="0" w:color="auto"/>
        <w:left w:val="none" w:sz="0" w:space="0" w:color="auto"/>
        <w:bottom w:val="none" w:sz="0" w:space="0" w:color="auto"/>
        <w:right w:val="none" w:sz="0" w:space="0" w:color="auto"/>
      </w:divBdr>
    </w:div>
    <w:div w:id="1105272519">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20916090">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0127902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848211889">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FCB15A-DB63-4258-BA5A-CB79D7567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Template>
  <TotalTime>4</TotalTime>
  <Pages>3</Pages>
  <Words>594</Words>
  <Characters>3390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Noble Transcription Services</Company>
  <LinksUpToDate>false</LinksUpToDate>
  <CharactersWithSpaces>3977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3</cp:revision>
  <dcterms:created xsi:type="dcterms:W3CDTF">2021-03-18T17:03:00Z</dcterms:created>
  <dcterms:modified xsi:type="dcterms:W3CDTF">2021-03-18T17:07:00Z</dcterms:modified>
</cp:coreProperties>
</file>