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32979" w14:textId="77777777" w:rsidR="0038334D" w:rsidRPr="005947F0" w:rsidRDefault="0038563B">
      <w:pPr>
        <w:rPr>
          <w:rFonts w:ascii="Times New Roman" w:hAnsi="Times New Roman" w:cs="Times New Roman"/>
          <w:sz w:val="24"/>
          <w:szCs w:val="24"/>
        </w:rPr>
      </w:pPr>
      <w:r w:rsidRPr="005947F0">
        <w:rPr>
          <w:rFonts w:ascii="Times New Roman" w:hAnsi="Times New Roman" w:cs="Times New Roman"/>
          <w:sz w:val="24"/>
          <w:szCs w:val="24"/>
        </w:rPr>
        <w:t>National Farmworker Jobs Program Webcast</w:t>
      </w:r>
    </w:p>
    <w:p w14:paraId="7CBAE656" w14:textId="77777777" w:rsidR="0038563B" w:rsidRPr="005947F0" w:rsidRDefault="0038563B" w:rsidP="0038563B">
      <w:pPr>
        <w:pStyle w:val="NormalWeb"/>
        <w:spacing w:before="0" w:beforeAutospacing="0" w:after="0" w:afterAutospacing="0"/>
      </w:pPr>
      <w:r w:rsidRPr="005947F0">
        <w:t xml:space="preserve">Slide 1:  </w:t>
      </w:r>
      <w:r w:rsidRPr="005947F0">
        <w:rPr>
          <w:rFonts w:eastAsiaTheme="minorEastAsia"/>
          <w:color w:val="000000" w:themeColor="text1"/>
          <w:kern w:val="24"/>
        </w:rPr>
        <w:t xml:space="preserve">Welcome to the webcast covering Attachment 7 of the recently released Training and Employment Guidance Letter (or TEGL) on </w:t>
      </w:r>
      <w:r w:rsidRPr="005947F0">
        <w:rPr>
          <w:rFonts w:eastAsiaTheme="minorEastAsia"/>
          <w:i/>
          <w:color w:val="000000" w:themeColor="text1"/>
          <w:kern w:val="24"/>
          <w:u w:val="single"/>
        </w:rPr>
        <w:t>Aligning Performance Accountability Reporting, Definitions, and Policies Across Workforce Employment and Training Programs Administered by the U.S. Department of Labor</w:t>
      </w:r>
      <w:r w:rsidRPr="005947F0">
        <w:rPr>
          <w:rFonts w:eastAsiaTheme="minorEastAsia"/>
          <w:i/>
          <w:color w:val="000000" w:themeColor="text1"/>
          <w:kern w:val="24"/>
        </w:rPr>
        <w:t>.</w:t>
      </w:r>
      <w:r w:rsidRPr="005947F0">
        <w:rPr>
          <w:rFonts w:eastAsiaTheme="minorEastAsia"/>
          <w:color w:val="000000" w:themeColor="text1"/>
          <w:kern w:val="24"/>
        </w:rPr>
        <w:t xml:space="preserve">  This attachment covers the National Farmworker Jobs Program (NFJP).</w:t>
      </w:r>
    </w:p>
    <w:p w14:paraId="29237A36" w14:textId="77777777" w:rsidR="0038563B" w:rsidRPr="005947F0" w:rsidRDefault="0038563B">
      <w:pPr>
        <w:rPr>
          <w:rFonts w:ascii="Times New Roman" w:hAnsi="Times New Roman" w:cs="Times New Roman"/>
          <w:sz w:val="24"/>
          <w:szCs w:val="24"/>
        </w:rPr>
      </w:pPr>
    </w:p>
    <w:p w14:paraId="511444F4" w14:textId="77777777" w:rsidR="00D306C7" w:rsidRPr="005947F0" w:rsidRDefault="0038563B" w:rsidP="00D306C7">
      <w:pPr>
        <w:pStyle w:val="NormalWeb"/>
        <w:spacing w:before="0" w:beforeAutospacing="0" w:after="0" w:afterAutospacing="0"/>
        <w:rPr>
          <w:rFonts w:eastAsiaTheme="minorEastAsia"/>
          <w:color w:val="000000" w:themeColor="text1"/>
          <w:kern w:val="24"/>
        </w:rPr>
      </w:pPr>
      <w:r w:rsidRPr="005947F0">
        <w:t xml:space="preserve">Slide 2:  </w:t>
      </w:r>
      <w:r w:rsidRPr="005947F0">
        <w:rPr>
          <w:rFonts w:eastAsiaTheme="minorEastAsia"/>
          <w:color w:val="000000" w:themeColor="text1"/>
          <w:kern w:val="24"/>
        </w:rPr>
        <w:t xml:space="preserve">Our discussion will </w:t>
      </w:r>
      <w:r w:rsidR="00D306C7" w:rsidRPr="005947F0">
        <w:rPr>
          <w:rFonts w:eastAsiaTheme="minorEastAsia"/>
          <w:color w:val="000000" w:themeColor="text1"/>
          <w:kern w:val="24"/>
        </w:rPr>
        <w:t xml:space="preserve">briefly </w:t>
      </w:r>
      <w:r w:rsidRPr="005947F0">
        <w:rPr>
          <w:rFonts w:eastAsiaTheme="minorEastAsia"/>
          <w:color w:val="000000" w:themeColor="text1"/>
          <w:kern w:val="24"/>
        </w:rPr>
        <w:t xml:space="preserve">cover how NFJP policy compares and contrasts with the main TEGL in reporting, definitions and policies.   This webcast </w:t>
      </w:r>
      <w:r w:rsidR="00D306C7" w:rsidRPr="005947F0">
        <w:rPr>
          <w:rFonts w:eastAsiaTheme="minorEastAsia"/>
          <w:color w:val="000000" w:themeColor="text1"/>
          <w:kern w:val="24"/>
        </w:rPr>
        <w:t>track</w:t>
      </w:r>
      <w:r w:rsidRPr="005947F0">
        <w:rPr>
          <w:rFonts w:eastAsiaTheme="minorEastAsia"/>
          <w:color w:val="000000" w:themeColor="text1"/>
          <w:kern w:val="24"/>
        </w:rPr>
        <w:t xml:space="preserve">s the order of the attachment, so feel free to follow this presentation utilizing Attachment 7.  </w:t>
      </w:r>
      <w:r w:rsidR="00D306C7" w:rsidRPr="005947F0">
        <w:rPr>
          <w:rFonts w:eastAsiaTheme="minorEastAsia"/>
          <w:color w:val="000000" w:themeColor="text1"/>
          <w:kern w:val="24"/>
        </w:rPr>
        <w:t xml:space="preserve">Be sure to also review the webcasts of the overview and body of the TEGL, in order to fully understand the layout and purposes of this very important TEGL.    </w:t>
      </w:r>
    </w:p>
    <w:p w14:paraId="11A62E98" w14:textId="77777777" w:rsidR="0038563B" w:rsidRPr="005947F0" w:rsidRDefault="0038563B" w:rsidP="0038563B">
      <w:pPr>
        <w:pStyle w:val="NormalWeb"/>
        <w:spacing w:before="0" w:beforeAutospacing="0" w:after="0" w:afterAutospacing="0"/>
      </w:pPr>
    </w:p>
    <w:p w14:paraId="2F562A8D" w14:textId="77777777" w:rsidR="0097203F" w:rsidRPr="005947F0" w:rsidRDefault="0097203F">
      <w:pPr>
        <w:rPr>
          <w:rFonts w:ascii="Times New Roman" w:hAnsi="Times New Roman" w:cs="Times New Roman"/>
          <w:sz w:val="24"/>
          <w:szCs w:val="24"/>
        </w:rPr>
      </w:pPr>
      <w:r w:rsidRPr="005947F0">
        <w:rPr>
          <w:rFonts w:ascii="Times New Roman" w:hAnsi="Times New Roman" w:cs="Times New Roman"/>
          <w:sz w:val="24"/>
          <w:szCs w:val="24"/>
        </w:rPr>
        <w:t>Slide 3:  NFJP uses the same WIOA primary performance indicators as the core programs and applies these indicators as described in Appendix 1 of the guidance.  With the breakdown of PIRL element 808, adult measures include eligible seasonal farmworker adults, eligible migrant farmworker adults, and qualifying dependent adults of an eligible migrant and seasonal farmworker.  The list of qualifying dependents can be found in TEGL 18-16</w:t>
      </w:r>
      <w:r w:rsidR="009E19D3" w:rsidRPr="005947F0">
        <w:rPr>
          <w:rFonts w:ascii="Times New Roman" w:hAnsi="Times New Roman" w:cs="Times New Roman"/>
          <w:sz w:val="24"/>
          <w:szCs w:val="24"/>
        </w:rPr>
        <w:t xml:space="preserve"> and 20 CFR 685.110</w:t>
      </w:r>
      <w:r w:rsidRPr="005947F0">
        <w:rPr>
          <w:rFonts w:ascii="Times New Roman" w:hAnsi="Times New Roman" w:cs="Times New Roman"/>
          <w:sz w:val="24"/>
          <w:szCs w:val="24"/>
        </w:rPr>
        <w:t xml:space="preserve">.  </w:t>
      </w:r>
    </w:p>
    <w:p w14:paraId="17AB38F2" w14:textId="77777777" w:rsidR="00592C76" w:rsidRPr="005947F0" w:rsidRDefault="00592C76" w:rsidP="00687575">
      <w:pPr>
        <w:pStyle w:val="NormalWeb"/>
        <w:spacing w:before="0" w:beforeAutospacing="0" w:after="0" w:afterAutospacing="0"/>
      </w:pPr>
    </w:p>
    <w:p w14:paraId="1EB4479A" w14:textId="77777777" w:rsidR="00687575" w:rsidRPr="005947F0" w:rsidRDefault="00687575" w:rsidP="00687575">
      <w:pPr>
        <w:pStyle w:val="NormalWeb"/>
        <w:spacing w:before="0" w:beforeAutospacing="0" w:after="0" w:afterAutospacing="0"/>
      </w:pPr>
      <w:r w:rsidRPr="005947F0">
        <w:t xml:space="preserve">Slide 4:  </w:t>
      </w:r>
      <w:r w:rsidRPr="005947F0">
        <w:rPr>
          <w:rFonts w:eastAsiaTheme="minorEastAsia"/>
          <w:color w:val="000000" w:themeColor="text1"/>
          <w:kern w:val="24"/>
        </w:rPr>
        <w:t xml:space="preserve">NFJP also uses the same WIOA youth primary performance indicators as the core programs and applies these indicators as described in Appendix 1 of the guidance.  With the breakdown of PIRL element 808, youth measures include eligible seasonal and migrant farmworker youth and qualifying dependent youths of an eligible migrant and seasonal farmworker. Not all NFJP grantees have a youth component as part of their grant.  Those who do not, will not report youth measures.  However, grantees that have a youth component as described in 20 CFR 685.370, must report on these MSFW youth according to Youth performance indicators.  NFJP youth participants include individuals aged 14-24 who are either an eligible MSFW youth who is individually eligible or a dependent youth of an eligible MSFW.   Grantees may enroll eligible migrant and seasonal farmworker (MSFW) participants aged 18-24 as either a MSFW adult or a MSFW youth, but not in both categories.  Eligible MSFW youth aged 14-17 may only be enrolled as a MSFW youth. Unlike WIOA Youth Services, NFJP does not distinguish between in-school and out-of-school youth for participation and reporting purposes. </w:t>
      </w:r>
    </w:p>
    <w:p w14:paraId="052B8E74" w14:textId="77777777" w:rsidR="00687575" w:rsidRPr="005947F0" w:rsidRDefault="00687575">
      <w:pPr>
        <w:rPr>
          <w:rFonts w:ascii="Times New Roman" w:hAnsi="Times New Roman" w:cs="Times New Roman"/>
          <w:sz w:val="24"/>
          <w:szCs w:val="24"/>
        </w:rPr>
      </w:pPr>
    </w:p>
    <w:p w14:paraId="7304B1C2" w14:textId="77777777" w:rsidR="000956FF" w:rsidRPr="005947F0" w:rsidRDefault="00592C76" w:rsidP="007E70F4">
      <w:pPr>
        <w:pStyle w:val="NormalWeb"/>
        <w:spacing w:before="0" w:beforeAutospacing="0" w:after="0" w:afterAutospacing="0"/>
        <w:rPr>
          <w:rFonts w:eastAsiaTheme="minorEastAsia"/>
          <w:color w:val="000000" w:themeColor="text1"/>
          <w:kern w:val="24"/>
        </w:rPr>
      </w:pPr>
      <w:r w:rsidRPr="005947F0">
        <w:t xml:space="preserve">Slide 5:  </w:t>
      </w:r>
      <w:r w:rsidR="007E70F4" w:rsidRPr="005947F0">
        <w:rPr>
          <w:rFonts w:eastAsiaTheme="minorEastAsia"/>
          <w:color w:val="000000" w:themeColor="text1"/>
          <w:kern w:val="24"/>
        </w:rPr>
        <w:t>A key difference for</w:t>
      </w:r>
      <w:r w:rsidR="007E70F4" w:rsidRPr="005947F0">
        <w:rPr>
          <w:rFonts w:eastAsiaTheme="minorEastAsia"/>
          <w:b/>
          <w:bCs/>
          <w:color w:val="000000" w:themeColor="text1"/>
          <w:kern w:val="24"/>
        </w:rPr>
        <w:t xml:space="preserve"> </w:t>
      </w:r>
      <w:r w:rsidR="007E70F4" w:rsidRPr="005947F0">
        <w:rPr>
          <w:rFonts w:eastAsiaTheme="minorEastAsia"/>
          <w:color w:val="000000" w:themeColor="text1"/>
          <w:kern w:val="24"/>
        </w:rPr>
        <w:t>NFJP is the program’s definition of reportable individual and pa</w:t>
      </w:r>
      <w:r w:rsidR="00435905" w:rsidRPr="005947F0">
        <w:rPr>
          <w:rFonts w:eastAsiaTheme="minorEastAsia"/>
          <w:color w:val="000000" w:themeColor="text1"/>
          <w:kern w:val="24"/>
        </w:rPr>
        <w:t>rticipant.  NFJP does not use</w:t>
      </w:r>
      <w:r w:rsidR="007E70F4" w:rsidRPr="005947F0">
        <w:rPr>
          <w:rFonts w:eastAsiaTheme="minorEastAsia"/>
          <w:color w:val="000000" w:themeColor="text1"/>
          <w:kern w:val="24"/>
        </w:rPr>
        <w:t xml:space="preserve"> the definitions applied to other WIOA-funded programs. </w:t>
      </w:r>
    </w:p>
    <w:p w14:paraId="16245378" w14:textId="77777777" w:rsidR="007E70F4" w:rsidRPr="005947F0" w:rsidRDefault="007E70F4" w:rsidP="007E70F4">
      <w:pPr>
        <w:pStyle w:val="NormalWeb"/>
        <w:spacing w:before="0" w:beforeAutospacing="0" w:after="0" w:afterAutospacing="0"/>
      </w:pPr>
      <w:r w:rsidRPr="005947F0">
        <w:rPr>
          <w:rFonts w:eastAsiaTheme="minorEastAsia"/>
          <w:b/>
          <w:bCs/>
          <w:color w:val="000000" w:themeColor="text1"/>
          <w:kern w:val="24"/>
        </w:rPr>
        <w:t xml:space="preserve">  </w:t>
      </w:r>
    </w:p>
    <w:p w14:paraId="0AA2DCF7" w14:textId="77777777" w:rsidR="000956FF" w:rsidRPr="005947F0" w:rsidRDefault="007E70F4" w:rsidP="007E70F4">
      <w:pPr>
        <w:pStyle w:val="NormalWeb"/>
        <w:spacing w:before="0" w:beforeAutospacing="0" w:after="0" w:afterAutospacing="0"/>
        <w:rPr>
          <w:rFonts w:eastAsiaTheme="minorEastAsia"/>
          <w:color w:val="000000" w:themeColor="text1"/>
          <w:kern w:val="24"/>
        </w:rPr>
      </w:pPr>
      <w:r w:rsidRPr="005947F0">
        <w:rPr>
          <w:rFonts w:eastAsiaTheme="minorEastAsia"/>
          <w:color w:val="000000" w:themeColor="text1"/>
          <w:kern w:val="24"/>
        </w:rPr>
        <w:t xml:space="preserve">The NFJP definition for reportable individuals states that an individual who receives only related assistance services that (1) do not require significant involvement of grantee staff time; and (2) do not require a career assessment by grantee staff of an individual’s skills, education, or career objectives (including all emergency assistance services) will be considered a “reportable individual” for NFJP.  Emergency assistance, a form of short-term related assistance, may be </w:t>
      </w:r>
      <w:r w:rsidRPr="005947F0">
        <w:rPr>
          <w:rFonts w:eastAsiaTheme="minorEastAsia"/>
          <w:color w:val="000000" w:themeColor="text1"/>
          <w:kern w:val="24"/>
        </w:rPr>
        <w:lastRenderedPageBreak/>
        <w:t xml:space="preserve">provided to eligible MSFWs.  However, individuals receiving emergency assistance only are counted as reportable individuals.  Reportable individuals are not included in performance calculations. </w:t>
      </w:r>
    </w:p>
    <w:p w14:paraId="2503B651" w14:textId="77777777" w:rsidR="000956FF" w:rsidRPr="005947F0" w:rsidRDefault="000956FF" w:rsidP="007E70F4">
      <w:pPr>
        <w:pStyle w:val="NormalWeb"/>
        <w:spacing w:before="0" w:beforeAutospacing="0" w:after="0" w:afterAutospacing="0"/>
        <w:rPr>
          <w:rFonts w:eastAsiaTheme="minorEastAsia"/>
          <w:color w:val="000000" w:themeColor="text1"/>
          <w:kern w:val="24"/>
        </w:rPr>
      </w:pPr>
    </w:p>
    <w:p w14:paraId="1A75F8F3" w14:textId="77777777" w:rsidR="007E70F4" w:rsidRPr="005947F0" w:rsidRDefault="007E70F4" w:rsidP="007E70F4">
      <w:pPr>
        <w:pStyle w:val="NormalWeb"/>
        <w:spacing w:before="0" w:beforeAutospacing="0" w:after="0" w:afterAutospacing="0"/>
      </w:pPr>
      <w:r w:rsidRPr="005947F0">
        <w:rPr>
          <w:rFonts w:eastAsiaTheme="minorEastAsia"/>
          <w:color w:val="000000" w:themeColor="text1"/>
          <w:kern w:val="24"/>
        </w:rPr>
        <w:t xml:space="preserve">Alternatively, an individual who receives an eligibility determination, career assessment, and receipt of one of these five program elements:  career services, training services, housing services, youth services, and/or certain staff-assisted, related assistance services, will be considered an NFJP participant.  </w:t>
      </w:r>
    </w:p>
    <w:p w14:paraId="3ADC4C9B" w14:textId="77777777" w:rsidR="000956FF" w:rsidRPr="005947F0" w:rsidRDefault="000956FF" w:rsidP="000956FF">
      <w:pPr>
        <w:pStyle w:val="NormalWeb"/>
        <w:spacing w:before="0" w:beforeAutospacing="0" w:after="0" w:afterAutospacing="0"/>
        <w:rPr>
          <w:rFonts w:eastAsiaTheme="minorEastAsia"/>
          <w:color w:val="000000" w:themeColor="text1"/>
          <w:kern w:val="24"/>
        </w:rPr>
      </w:pPr>
    </w:p>
    <w:p w14:paraId="3073B758" w14:textId="77777777" w:rsidR="000956FF" w:rsidRPr="005947F0" w:rsidRDefault="000956FF" w:rsidP="000956FF">
      <w:pPr>
        <w:pStyle w:val="NormalWeb"/>
        <w:spacing w:before="0" w:beforeAutospacing="0" w:after="0" w:afterAutospacing="0"/>
      </w:pPr>
      <w:r w:rsidRPr="005947F0">
        <w:rPr>
          <w:rFonts w:eastAsiaTheme="minorEastAsia"/>
          <w:color w:val="000000" w:themeColor="text1"/>
          <w:kern w:val="24"/>
        </w:rPr>
        <w:t>Individuals who are enrolled in certain related assistance activities that require significant involvement of grantee staff are also considered participants.  Specifically, “certain related assistance” activities that trigger inclusion in participation are those that require an eligibility determination and a career assessment, and are directly related to education, training, career, and/or employment outcomes.  These activities may include, but are not limited to:</w:t>
      </w:r>
    </w:p>
    <w:p w14:paraId="624D670F" w14:textId="77777777" w:rsidR="000956FF" w:rsidRPr="005947F0" w:rsidRDefault="000956FF" w:rsidP="000956FF">
      <w:pPr>
        <w:pStyle w:val="NormalWeb"/>
        <w:spacing w:before="0" w:beforeAutospacing="0" w:after="0" w:afterAutospacing="0"/>
        <w:rPr>
          <w:rFonts w:eastAsiaTheme="minorEastAsia"/>
          <w:color w:val="000000" w:themeColor="text1"/>
          <w:kern w:val="24"/>
        </w:rPr>
      </w:pPr>
    </w:p>
    <w:p w14:paraId="4E779E36" w14:textId="77777777" w:rsidR="000956FF" w:rsidRPr="005947F0" w:rsidRDefault="000956FF" w:rsidP="000956FF">
      <w:pPr>
        <w:pStyle w:val="NormalWeb"/>
        <w:spacing w:before="0" w:beforeAutospacing="0" w:after="0" w:afterAutospacing="0"/>
        <w:ind w:left="720" w:right="2520"/>
      </w:pPr>
      <w:r w:rsidRPr="005947F0">
        <w:rPr>
          <w:rFonts w:eastAsiaTheme="minorEastAsia"/>
          <w:color w:val="000000" w:themeColor="text1"/>
          <w:kern w:val="24"/>
        </w:rPr>
        <w:t xml:space="preserve">School dropout prevention and recovery activities; </w:t>
      </w:r>
    </w:p>
    <w:p w14:paraId="5DFD6FCE" w14:textId="77777777" w:rsidR="000956FF" w:rsidRPr="005947F0" w:rsidRDefault="000956FF" w:rsidP="000956FF">
      <w:pPr>
        <w:pStyle w:val="NormalWeb"/>
        <w:spacing w:before="0" w:beforeAutospacing="0" w:after="0" w:afterAutospacing="0"/>
        <w:ind w:left="720" w:right="2520"/>
      </w:pPr>
      <w:r w:rsidRPr="005947F0">
        <w:rPr>
          <w:rFonts w:eastAsiaTheme="minorEastAsia"/>
          <w:color w:val="000000" w:themeColor="text1"/>
          <w:kern w:val="24"/>
        </w:rPr>
        <w:t xml:space="preserve">Self-employment and related business or micro-enterprise development or education; and </w:t>
      </w:r>
    </w:p>
    <w:p w14:paraId="5EB72B25" w14:textId="77777777" w:rsidR="00435905" w:rsidRPr="005947F0" w:rsidRDefault="000956FF" w:rsidP="00435905">
      <w:pPr>
        <w:pStyle w:val="NormalWeb"/>
        <w:spacing w:before="0" w:beforeAutospacing="0" w:after="0" w:afterAutospacing="0"/>
        <w:ind w:left="720" w:right="2520"/>
        <w:rPr>
          <w:rFonts w:eastAsiaTheme="minorEastAsia"/>
          <w:color w:val="000000" w:themeColor="text1"/>
          <w:kern w:val="24"/>
        </w:rPr>
      </w:pPr>
      <w:r w:rsidRPr="005947F0">
        <w:rPr>
          <w:rFonts w:eastAsiaTheme="minorEastAsia"/>
          <w:color w:val="000000" w:themeColor="text1"/>
          <w:kern w:val="24"/>
        </w:rPr>
        <w:t>Occupational career and technical education.</w:t>
      </w:r>
    </w:p>
    <w:p w14:paraId="33FF0734" w14:textId="77777777" w:rsidR="006A4C85" w:rsidRPr="005947F0" w:rsidRDefault="006A4C85" w:rsidP="00435905">
      <w:pPr>
        <w:pStyle w:val="NormalWeb"/>
        <w:spacing w:before="0" w:beforeAutospacing="0" w:after="0" w:afterAutospacing="0"/>
        <w:ind w:left="720" w:right="2520"/>
        <w:rPr>
          <w:rFonts w:eastAsiaTheme="minorEastAsia"/>
          <w:color w:val="000000" w:themeColor="text1"/>
          <w:kern w:val="24"/>
        </w:rPr>
      </w:pPr>
    </w:p>
    <w:p w14:paraId="59C42AC8" w14:textId="77777777" w:rsidR="003014CC" w:rsidRPr="005947F0" w:rsidRDefault="003014CC" w:rsidP="003014CC">
      <w:pPr>
        <w:pStyle w:val="NormalWeb"/>
        <w:spacing w:before="0" w:beforeAutospacing="0" w:after="0" w:afterAutospacing="0"/>
        <w:ind w:right="360"/>
        <w:rPr>
          <w:rFonts w:eastAsiaTheme="minorEastAsia"/>
          <w:color w:val="000000" w:themeColor="text1"/>
          <w:kern w:val="24"/>
        </w:rPr>
      </w:pPr>
      <w:r w:rsidRPr="005947F0">
        <w:rPr>
          <w:rFonts w:eastAsiaTheme="minorEastAsia"/>
          <w:color w:val="000000" w:themeColor="text1"/>
          <w:kern w:val="24"/>
        </w:rPr>
        <w:t xml:space="preserve">NFJP grantees should review Attachment III-Table C of this TEGL to see which services trigger inclusion as a participant, and which PIRL elements are associated with those activities.  </w:t>
      </w:r>
    </w:p>
    <w:p w14:paraId="55AA3324" w14:textId="77777777" w:rsidR="00435905" w:rsidRPr="005947F0" w:rsidRDefault="00435905" w:rsidP="00435905">
      <w:pPr>
        <w:pStyle w:val="NormalWeb"/>
        <w:spacing w:before="0" w:beforeAutospacing="0" w:after="0" w:afterAutospacing="0"/>
        <w:ind w:right="2520"/>
        <w:rPr>
          <w:rFonts w:eastAsiaTheme="minorEastAsia"/>
          <w:color w:val="000000" w:themeColor="text1"/>
          <w:kern w:val="24"/>
        </w:rPr>
      </w:pPr>
    </w:p>
    <w:p w14:paraId="7D78C8E9" w14:textId="77777777" w:rsidR="000956FF" w:rsidRPr="005947F0" w:rsidRDefault="000956FF" w:rsidP="000956FF">
      <w:pPr>
        <w:spacing w:after="0" w:line="240" w:lineRule="auto"/>
        <w:contextualSpacing/>
        <w:rPr>
          <w:rFonts w:ascii="Times New Roman" w:hAnsi="Times New Roman" w:cs="Times New Roman"/>
          <w:sz w:val="24"/>
          <w:szCs w:val="24"/>
        </w:rPr>
      </w:pPr>
      <w:r w:rsidRPr="005947F0">
        <w:rPr>
          <w:rFonts w:ascii="Times New Roman" w:hAnsi="Times New Roman" w:cs="Times New Roman"/>
          <w:sz w:val="24"/>
          <w:szCs w:val="24"/>
        </w:rPr>
        <w:t xml:space="preserve">Slide 6:  </w:t>
      </w:r>
      <w:r w:rsidRPr="005947F0">
        <w:rPr>
          <w:rFonts w:ascii="Times New Roman" w:hAnsi="Times New Roman" w:cs="Times New Roman"/>
          <w:sz w:val="24"/>
        </w:rPr>
        <w:t xml:space="preserve">The NFJP program applies the definition and criteria of exit stated in Section 7 of this guidance.  The date of exit from the program is the last date of any service listed on the previous slide.  The </w:t>
      </w:r>
      <w:r w:rsidRPr="005947F0">
        <w:rPr>
          <w:rFonts w:ascii="Times New Roman" w:hAnsi="Times New Roman" w:cs="Times New Roman"/>
          <w:sz w:val="24"/>
          <w:szCs w:val="24"/>
        </w:rPr>
        <w:t>NFJP program applies the concept of a period of reportable individual activity consistent with WIOA title I Adult and Dislocated Worker programs found in Section 7 of this guidance. </w:t>
      </w:r>
    </w:p>
    <w:p w14:paraId="1DC094DF" w14:textId="77777777" w:rsidR="00EF076A" w:rsidRPr="005947F0" w:rsidRDefault="00EF076A" w:rsidP="000956FF">
      <w:pPr>
        <w:spacing w:after="0" w:line="240" w:lineRule="auto"/>
        <w:contextualSpacing/>
        <w:rPr>
          <w:rFonts w:ascii="Times New Roman" w:hAnsi="Times New Roman" w:cs="Times New Roman"/>
          <w:sz w:val="24"/>
          <w:szCs w:val="24"/>
        </w:rPr>
      </w:pPr>
    </w:p>
    <w:p w14:paraId="001BFD2B" w14:textId="77777777" w:rsidR="0068661D" w:rsidRPr="005947F0" w:rsidRDefault="00EF076A" w:rsidP="00982194">
      <w:pPr>
        <w:spacing w:after="0" w:line="240" w:lineRule="auto"/>
        <w:contextualSpacing/>
        <w:rPr>
          <w:rFonts w:ascii="Times New Roman" w:hAnsi="Times New Roman" w:cs="Times New Roman"/>
          <w:sz w:val="24"/>
          <w:szCs w:val="24"/>
        </w:rPr>
      </w:pPr>
      <w:r w:rsidRPr="005947F0">
        <w:rPr>
          <w:rFonts w:ascii="Times New Roman" w:hAnsi="Times New Roman" w:cs="Times New Roman"/>
          <w:sz w:val="24"/>
          <w:szCs w:val="24"/>
        </w:rPr>
        <w:t>Slide 7:  NFJP Housing grantees do not report into WIPS at this time</w:t>
      </w:r>
      <w:r w:rsidR="00982194" w:rsidRPr="005947F0">
        <w:rPr>
          <w:rFonts w:ascii="Times New Roman" w:hAnsi="Times New Roman" w:cs="Times New Roman"/>
          <w:sz w:val="24"/>
          <w:szCs w:val="24"/>
        </w:rPr>
        <w:t xml:space="preserve">, but will continue to report quarterly through the </w:t>
      </w:r>
      <w:r w:rsidR="00982194" w:rsidRPr="005947F0">
        <w:rPr>
          <w:rFonts w:ascii="Times New Roman" w:hAnsi="Times New Roman" w:cs="Times New Roman"/>
          <w:i/>
          <w:sz w:val="24"/>
          <w:szCs w:val="24"/>
          <w:u w:val="single"/>
        </w:rPr>
        <w:t>Joint Quality Narrative Report</w:t>
      </w:r>
      <w:r w:rsidR="00982194" w:rsidRPr="005947F0">
        <w:rPr>
          <w:rFonts w:ascii="Times New Roman" w:hAnsi="Times New Roman" w:cs="Times New Roman"/>
          <w:sz w:val="24"/>
          <w:szCs w:val="24"/>
        </w:rPr>
        <w:t>.</w:t>
      </w:r>
      <w:r w:rsidRPr="005947F0">
        <w:rPr>
          <w:rFonts w:ascii="Times New Roman" w:hAnsi="Times New Roman" w:cs="Times New Roman"/>
          <w:sz w:val="24"/>
          <w:szCs w:val="24"/>
        </w:rPr>
        <w:t xml:space="preserve">  </w:t>
      </w:r>
      <w:r w:rsidR="00982194" w:rsidRPr="005947F0">
        <w:rPr>
          <w:rFonts w:ascii="Times New Roman" w:hAnsi="Times New Roman" w:cs="Times New Roman"/>
          <w:sz w:val="24"/>
          <w:szCs w:val="24"/>
        </w:rPr>
        <w:t>NFJP Housing grantees that provide permanent housing services will report on four (4) indicators of performance, and Housing grantees that provide temporary housing services will report on two (2) indicators of performance.  The definition of housing assistance, as well as the types of housing services, including qualifying permanent and temporary housing services and assistance, are described in the regulations.  Permanent housing developed with NFJP funds must be promoted and made widely available to eligible MSFWs, but occupancy is not restricted to eligible MSFWs.  That is why there</w:t>
      </w:r>
      <w:r w:rsidR="00DF35E3" w:rsidRPr="005947F0">
        <w:rPr>
          <w:rFonts w:ascii="Times New Roman" w:hAnsi="Times New Roman" w:cs="Times New Roman"/>
          <w:sz w:val="24"/>
          <w:szCs w:val="24"/>
        </w:rPr>
        <w:t xml:space="preserve"> are two measures that count </w:t>
      </w:r>
      <w:r w:rsidR="00982194" w:rsidRPr="005947F0">
        <w:rPr>
          <w:rFonts w:ascii="Times New Roman" w:hAnsi="Times New Roman" w:cs="Times New Roman"/>
          <w:sz w:val="24"/>
          <w:szCs w:val="24"/>
        </w:rPr>
        <w:t xml:space="preserve">the total number of individuals and families served that are not eligible MSFWs.   </w:t>
      </w:r>
    </w:p>
    <w:p w14:paraId="4CCBF90B" w14:textId="77777777" w:rsidR="0068661D" w:rsidRPr="005947F0" w:rsidRDefault="0068661D" w:rsidP="00982194">
      <w:pPr>
        <w:spacing w:after="0" w:line="240" w:lineRule="auto"/>
        <w:contextualSpacing/>
        <w:rPr>
          <w:rFonts w:ascii="Times New Roman" w:hAnsi="Times New Roman" w:cs="Times New Roman"/>
          <w:sz w:val="24"/>
          <w:szCs w:val="24"/>
        </w:rPr>
      </w:pPr>
    </w:p>
    <w:p w14:paraId="481DEB19" w14:textId="77777777" w:rsidR="0068661D" w:rsidRPr="005947F0" w:rsidRDefault="0068661D" w:rsidP="0068661D">
      <w:pPr>
        <w:spacing w:after="0" w:line="240" w:lineRule="auto"/>
        <w:contextualSpacing/>
        <w:rPr>
          <w:rFonts w:ascii="Times New Roman" w:hAnsi="Times New Roman" w:cs="Times New Roman"/>
          <w:color w:val="000000" w:themeColor="text1"/>
          <w:kern w:val="24"/>
          <w:sz w:val="24"/>
          <w:szCs w:val="24"/>
        </w:rPr>
      </w:pPr>
      <w:r w:rsidRPr="005947F0">
        <w:rPr>
          <w:rFonts w:ascii="Times New Roman" w:hAnsi="Times New Roman" w:cs="Times New Roman"/>
          <w:sz w:val="24"/>
          <w:szCs w:val="24"/>
        </w:rPr>
        <w:t xml:space="preserve">Slide 8:  </w:t>
      </w:r>
      <w:r w:rsidR="00982194" w:rsidRPr="005947F0">
        <w:rPr>
          <w:rFonts w:ascii="Times New Roman" w:hAnsi="Times New Roman" w:cs="Times New Roman"/>
          <w:sz w:val="24"/>
          <w:szCs w:val="24"/>
        </w:rPr>
        <w:t xml:space="preserve"> </w:t>
      </w:r>
      <w:r w:rsidRPr="005947F0">
        <w:rPr>
          <w:rFonts w:ascii="Times New Roman" w:hAnsi="Times New Roman" w:cs="Times New Roman"/>
          <w:color w:val="000000" w:themeColor="text1"/>
          <w:kern w:val="24"/>
          <w:sz w:val="24"/>
          <w:szCs w:val="24"/>
        </w:rPr>
        <w:t>Temporary housing services must only be provided to eligible MSFWs and their families, as defined in 20 CFR 685.360.</w:t>
      </w:r>
    </w:p>
    <w:p w14:paraId="3ED0E69D" w14:textId="77777777" w:rsidR="0068661D" w:rsidRPr="005947F0" w:rsidRDefault="0068661D" w:rsidP="0068661D">
      <w:pPr>
        <w:spacing w:after="0" w:line="240" w:lineRule="auto"/>
        <w:contextualSpacing/>
        <w:rPr>
          <w:rFonts w:ascii="Times New Roman" w:hAnsi="Times New Roman" w:cs="Times New Roman"/>
          <w:sz w:val="24"/>
          <w:szCs w:val="24"/>
        </w:rPr>
      </w:pPr>
    </w:p>
    <w:p w14:paraId="6F2BE847" w14:textId="4E75A317" w:rsidR="00982194" w:rsidRPr="005947F0" w:rsidRDefault="00982194" w:rsidP="00982194">
      <w:pPr>
        <w:spacing w:after="0" w:line="240" w:lineRule="auto"/>
        <w:contextualSpacing/>
        <w:rPr>
          <w:rFonts w:ascii="Times New Roman" w:hAnsi="Times New Roman" w:cs="Times New Roman"/>
          <w:sz w:val="24"/>
          <w:szCs w:val="24"/>
        </w:rPr>
      </w:pPr>
      <w:r w:rsidRPr="005947F0">
        <w:rPr>
          <w:rFonts w:ascii="Times New Roman" w:hAnsi="Times New Roman" w:cs="Times New Roman"/>
          <w:sz w:val="24"/>
          <w:szCs w:val="24"/>
        </w:rPr>
        <w:t xml:space="preserve">Another unique feature of NFJP is the definition of </w:t>
      </w:r>
      <w:r w:rsidR="00DC3E35">
        <w:rPr>
          <w:rFonts w:ascii="Times New Roman" w:hAnsi="Times New Roman" w:cs="Times New Roman"/>
          <w:sz w:val="24"/>
          <w:szCs w:val="24"/>
        </w:rPr>
        <w:t>dependent</w:t>
      </w:r>
      <w:r w:rsidRPr="005947F0">
        <w:rPr>
          <w:rFonts w:ascii="Times New Roman" w:hAnsi="Times New Roman" w:cs="Times New Roman"/>
          <w:sz w:val="24"/>
          <w:szCs w:val="24"/>
        </w:rPr>
        <w:t>.  “Family” is defined as the eligible MSFW(s) and all the individuals identified under the definition of “dependent” who are living together in one physical residence.</w:t>
      </w:r>
      <w:r w:rsidR="0068661D" w:rsidRPr="005947F0">
        <w:rPr>
          <w:rFonts w:ascii="Times New Roman" w:hAnsi="Times New Roman" w:cs="Times New Roman"/>
          <w:sz w:val="24"/>
          <w:szCs w:val="24"/>
        </w:rPr>
        <w:t xml:space="preserve">  The definition of </w:t>
      </w:r>
      <w:r w:rsidR="00DC3E35">
        <w:rPr>
          <w:rFonts w:ascii="Times New Roman" w:hAnsi="Times New Roman" w:cs="Times New Roman"/>
          <w:sz w:val="24"/>
          <w:szCs w:val="24"/>
        </w:rPr>
        <w:t>dependent</w:t>
      </w:r>
      <w:bookmarkStart w:id="0" w:name="_GoBack"/>
      <w:bookmarkEnd w:id="0"/>
      <w:r w:rsidR="0068661D" w:rsidRPr="005947F0">
        <w:rPr>
          <w:rFonts w:ascii="Times New Roman" w:hAnsi="Times New Roman" w:cs="Times New Roman"/>
          <w:sz w:val="24"/>
          <w:szCs w:val="24"/>
        </w:rPr>
        <w:t xml:space="preserve"> can easily be found in TEGL 18-16.</w:t>
      </w:r>
    </w:p>
    <w:p w14:paraId="027AE46E" w14:textId="77777777" w:rsidR="00982194" w:rsidRPr="005947F0" w:rsidRDefault="00982194" w:rsidP="000956FF">
      <w:pPr>
        <w:spacing w:after="0" w:line="240" w:lineRule="auto"/>
        <w:contextualSpacing/>
        <w:rPr>
          <w:rFonts w:ascii="Times New Roman" w:hAnsi="Times New Roman" w:cs="Times New Roman"/>
          <w:sz w:val="24"/>
          <w:szCs w:val="24"/>
        </w:rPr>
      </w:pPr>
    </w:p>
    <w:p w14:paraId="3F9A1485" w14:textId="77777777" w:rsidR="00DF10DE" w:rsidRPr="005947F0" w:rsidRDefault="0050562F" w:rsidP="0050562F">
      <w:pPr>
        <w:pStyle w:val="NormalWeb"/>
        <w:spacing w:before="0" w:beforeAutospacing="0" w:after="0" w:afterAutospacing="0"/>
        <w:rPr>
          <w:rFonts w:eastAsiaTheme="minorEastAsia"/>
          <w:color w:val="000000" w:themeColor="text1"/>
          <w:kern w:val="24"/>
        </w:rPr>
      </w:pPr>
      <w:r w:rsidRPr="005947F0">
        <w:t>Slide 9</w:t>
      </w:r>
      <w:r w:rsidR="00755D48" w:rsidRPr="005947F0">
        <w:t xml:space="preserve">:  </w:t>
      </w:r>
      <w:r w:rsidRPr="005947F0">
        <w:rPr>
          <w:rFonts w:eastAsiaTheme="minorEastAsia"/>
          <w:color w:val="000000" w:themeColor="text1"/>
          <w:kern w:val="24"/>
        </w:rPr>
        <w:t xml:space="preserve">Here are some useful links to help you navigate through TEGL 14-18.  Please feel free to reach out to the National Program Office if you need additional clarification on Attachment 7, Table C of Appendix III, or any other part of the TEGL. </w:t>
      </w:r>
    </w:p>
    <w:p w14:paraId="151213E1" w14:textId="77777777" w:rsidR="00DF10DE" w:rsidRPr="005947F0" w:rsidRDefault="00DF10DE" w:rsidP="0050562F">
      <w:pPr>
        <w:pStyle w:val="NormalWeb"/>
        <w:spacing w:before="0" w:beforeAutospacing="0" w:after="0" w:afterAutospacing="0"/>
        <w:rPr>
          <w:rFonts w:eastAsiaTheme="minorEastAsia"/>
          <w:color w:val="000000" w:themeColor="text1"/>
          <w:kern w:val="24"/>
        </w:rPr>
      </w:pPr>
    </w:p>
    <w:p w14:paraId="719155E2" w14:textId="77777777" w:rsidR="00DF10DE" w:rsidRPr="005947F0" w:rsidRDefault="00DF10DE" w:rsidP="0050562F">
      <w:pPr>
        <w:pStyle w:val="NormalWeb"/>
        <w:spacing w:before="0" w:beforeAutospacing="0" w:after="0" w:afterAutospacing="0"/>
        <w:rPr>
          <w:rFonts w:eastAsiaTheme="minorEastAsia"/>
          <w:color w:val="000000" w:themeColor="text1"/>
          <w:kern w:val="24"/>
        </w:rPr>
      </w:pPr>
      <w:r w:rsidRPr="005947F0">
        <w:rPr>
          <w:rFonts w:eastAsiaTheme="minorEastAsia"/>
          <w:color w:val="000000" w:themeColor="text1"/>
          <w:kern w:val="24"/>
        </w:rPr>
        <w:t>Slide 10:  Here are additional links to NFJP law, policy and guidance.  We encourage you to thoroughly read the TEGL 14-18 guidance package and associated NFJP attachments.</w:t>
      </w:r>
    </w:p>
    <w:p w14:paraId="6F98B350" w14:textId="77777777" w:rsidR="00DF10DE" w:rsidRPr="005947F0" w:rsidRDefault="00DF10DE" w:rsidP="0050562F">
      <w:pPr>
        <w:pStyle w:val="NormalWeb"/>
        <w:spacing w:before="0" w:beforeAutospacing="0" w:after="0" w:afterAutospacing="0"/>
        <w:rPr>
          <w:rFonts w:eastAsiaTheme="minorEastAsia"/>
          <w:color w:val="000000" w:themeColor="text1"/>
          <w:kern w:val="24"/>
        </w:rPr>
      </w:pPr>
    </w:p>
    <w:p w14:paraId="5023F9C6" w14:textId="77777777" w:rsidR="00DF10DE" w:rsidRPr="005947F0" w:rsidRDefault="00DF10DE" w:rsidP="00DF10DE">
      <w:pPr>
        <w:pStyle w:val="NormalWeb"/>
        <w:spacing w:before="0" w:beforeAutospacing="0" w:after="0" w:afterAutospacing="0"/>
      </w:pPr>
      <w:r w:rsidRPr="005947F0">
        <w:rPr>
          <w:rFonts w:eastAsiaTheme="minorEastAsia"/>
          <w:color w:val="000000" w:themeColor="text1"/>
          <w:kern w:val="24"/>
        </w:rPr>
        <w:t xml:space="preserve">Slide 11:  </w:t>
      </w:r>
      <w:r w:rsidR="0050562F" w:rsidRPr="005947F0">
        <w:rPr>
          <w:rFonts w:eastAsiaTheme="minorEastAsia"/>
          <w:color w:val="000000" w:themeColor="text1"/>
          <w:kern w:val="24"/>
        </w:rPr>
        <w:t xml:space="preserve"> </w:t>
      </w:r>
      <w:r w:rsidRPr="005947F0">
        <w:rPr>
          <w:rFonts w:eastAsiaTheme="minorEastAsia"/>
          <w:color w:val="000000" w:themeColor="text1"/>
          <w:kern w:val="24"/>
        </w:rPr>
        <w:t>Thank you for taking the time to tune in to this webcast!</w:t>
      </w:r>
    </w:p>
    <w:p w14:paraId="0F32088F" w14:textId="77777777" w:rsidR="0050562F" w:rsidRPr="005947F0" w:rsidRDefault="0050562F" w:rsidP="0050562F">
      <w:pPr>
        <w:pStyle w:val="NormalWeb"/>
        <w:spacing w:before="0" w:beforeAutospacing="0" w:after="0" w:afterAutospacing="0"/>
      </w:pPr>
    </w:p>
    <w:p w14:paraId="0D7F1172" w14:textId="77777777" w:rsidR="00755D48" w:rsidRPr="005947F0" w:rsidRDefault="00755D48" w:rsidP="000956FF">
      <w:pPr>
        <w:spacing w:after="0" w:line="240" w:lineRule="auto"/>
        <w:contextualSpacing/>
        <w:rPr>
          <w:rFonts w:ascii="Times New Roman" w:hAnsi="Times New Roman" w:cs="Times New Roman"/>
          <w:sz w:val="24"/>
          <w:szCs w:val="24"/>
        </w:rPr>
      </w:pPr>
    </w:p>
    <w:sectPr w:rsidR="00755D48" w:rsidRPr="00594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63B"/>
    <w:rsid w:val="000956FF"/>
    <w:rsid w:val="000D6806"/>
    <w:rsid w:val="000E0397"/>
    <w:rsid w:val="00225D8A"/>
    <w:rsid w:val="00226B03"/>
    <w:rsid w:val="003014CC"/>
    <w:rsid w:val="00343785"/>
    <w:rsid w:val="0038334D"/>
    <w:rsid w:val="0038563B"/>
    <w:rsid w:val="00394016"/>
    <w:rsid w:val="00435905"/>
    <w:rsid w:val="004A1CB1"/>
    <w:rsid w:val="004B26E0"/>
    <w:rsid w:val="0050562F"/>
    <w:rsid w:val="005317BB"/>
    <w:rsid w:val="00592C76"/>
    <w:rsid w:val="005947F0"/>
    <w:rsid w:val="0068661D"/>
    <w:rsid w:val="00687575"/>
    <w:rsid w:val="006A4C85"/>
    <w:rsid w:val="00755D48"/>
    <w:rsid w:val="007E70F4"/>
    <w:rsid w:val="008259D5"/>
    <w:rsid w:val="00843D4E"/>
    <w:rsid w:val="008E1446"/>
    <w:rsid w:val="009334F3"/>
    <w:rsid w:val="009420ED"/>
    <w:rsid w:val="0097203F"/>
    <w:rsid w:val="00982194"/>
    <w:rsid w:val="009C51BA"/>
    <w:rsid w:val="009E19D3"/>
    <w:rsid w:val="00AE768C"/>
    <w:rsid w:val="00CB6F4C"/>
    <w:rsid w:val="00D306C7"/>
    <w:rsid w:val="00D67914"/>
    <w:rsid w:val="00D931BE"/>
    <w:rsid w:val="00DC3E35"/>
    <w:rsid w:val="00DF10DE"/>
    <w:rsid w:val="00DF35E3"/>
    <w:rsid w:val="00EF076A"/>
    <w:rsid w:val="00F70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AEC1"/>
  <w15:chartTrackingRefBased/>
  <w15:docId w15:val="{510614B1-92FB-4F27-BA20-472CAA25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6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31763">
      <w:bodyDiv w:val="1"/>
      <w:marLeft w:val="0"/>
      <w:marRight w:val="0"/>
      <w:marTop w:val="0"/>
      <w:marBottom w:val="0"/>
      <w:divBdr>
        <w:top w:val="none" w:sz="0" w:space="0" w:color="auto"/>
        <w:left w:val="none" w:sz="0" w:space="0" w:color="auto"/>
        <w:bottom w:val="none" w:sz="0" w:space="0" w:color="auto"/>
        <w:right w:val="none" w:sz="0" w:space="0" w:color="auto"/>
      </w:divBdr>
    </w:div>
    <w:div w:id="230237338">
      <w:bodyDiv w:val="1"/>
      <w:marLeft w:val="0"/>
      <w:marRight w:val="0"/>
      <w:marTop w:val="0"/>
      <w:marBottom w:val="0"/>
      <w:divBdr>
        <w:top w:val="none" w:sz="0" w:space="0" w:color="auto"/>
        <w:left w:val="none" w:sz="0" w:space="0" w:color="auto"/>
        <w:bottom w:val="none" w:sz="0" w:space="0" w:color="auto"/>
        <w:right w:val="none" w:sz="0" w:space="0" w:color="auto"/>
      </w:divBdr>
    </w:div>
    <w:div w:id="967668698">
      <w:bodyDiv w:val="1"/>
      <w:marLeft w:val="0"/>
      <w:marRight w:val="0"/>
      <w:marTop w:val="0"/>
      <w:marBottom w:val="0"/>
      <w:divBdr>
        <w:top w:val="none" w:sz="0" w:space="0" w:color="auto"/>
        <w:left w:val="none" w:sz="0" w:space="0" w:color="auto"/>
        <w:bottom w:val="none" w:sz="0" w:space="0" w:color="auto"/>
        <w:right w:val="none" w:sz="0" w:space="0" w:color="auto"/>
      </w:divBdr>
    </w:div>
    <w:div w:id="987323178">
      <w:bodyDiv w:val="1"/>
      <w:marLeft w:val="0"/>
      <w:marRight w:val="0"/>
      <w:marTop w:val="0"/>
      <w:marBottom w:val="0"/>
      <w:divBdr>
        <w:top w:val="none" w:sz="0" w:space="0" w:color="auto"/>
        <w:left w:val="none" w:sz="0" w:space="0" w:color="auto"/>
        <w:bottom w:val="none" w:sz="0" w:space="0" w:color="auto"/>
        <w:right w:val="none" w:sz="0" w:space="0" w:color="auto"/>
      </w:divBdr>
    </w:div>
    <w:div w:id="1069572186">
      <w:bodyDiv w:val="1"/>
      <w:marLeft w:val="0"/>
      <w:marRight w:val="0"/>
      <w:marTop w:val="0"/>
      <w:marBottom w:val="0"/>
      <w:divBdr>
        <w:top w:val="none" w:sz="0" w:space="0" w:color="auto"/>
        <w:left w:val="none" w:sz="0" w:space="0" w:color="auto"/>
        <w:bottom w:val="none" w:sz="0" w:space="0" w:color="auto"/>
        <w:right w:val="none" w:sz="0" w:space="0" w:color="auto"/>
      </w:divBdr>
    </w:div>
    <w:div w:id="1265304832">
      <w:bodyDiv w:val="1"/>
      <w:marLeft w:val="0"/>
      <w:marRight w:val="0"/>
      <w:marTop w:val="0"/>
      <w:marBottom w:val="0"/>
      <w:divBdr>
        <w:top w:val="none" w:sz="0" w:space="0" w:color="auto"/>
        <w:left w:val="none" w:sz="0" w:space="0" w:color="auto"/>
        <w:bottom w:val="none" w:sz="0" w:space="0" w:color="auto"/>
        <w:right w:val="none" w:sz="0" w:space="0" w:color="auto"/>
      </w:divBdr>
    </w:div>
    <w:div w:id="1306545715">
      <w:bodyDiv w:val="1"/>
      <w:marLeft w:val="0"/>
      <w:marRight w:val="0"/>
      <w:marTop w:val="0"/>
      <w:marBottom w:val="0"/>
      <w:divBdr>
        <w:top w:val="none" w:sz="0" w:space="0" w:color="auto"/>
        <w:left w:val="none" w:sz="0" w:space="0" w:color="auto"/>
        <w:bottom w:val="none" w:sz="0" w:space="0" w:color="auto"/>
        <w:right w:val="none" w:sz="0" w:space="0" w:color="auto"/>
      </w:divBdr>
    </w:div>
    <w:div w:id="1869485343">
      <w:bodyDiv w:val="1"/>
      <w:marLeft w:val="0"/>
      <w:marRight w:val="0"/>
      <w:marTop w:val="0"/>
      <w:marBottom w:val="0"/>
      <w:divBdr>
        <w:top w:val="none" w:sz="0" w:space="0" w:color="auto"/>
        <w:left w:val="none" w:sz="0" w:space="0" w:color="auto"/>
        <w:bottom w:val="none" w:sz="0" w:space="0" w:color="auto"/>
        <w:right w:val="none" w:sz="0" w:space="0" w:color="auto"/>
      </w:divBdr>
    </w:div>
    <w:div w:id="214106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Marcia - ETA</dc:creator>
  <cp:keywords/>
  <dc:description/>
  <cp:lastModifiedBy>Grace McCall</cp:lastModifiedBy>
  <cp:revision>3</cp:revision>
  <dcterms:created xsi:type="dcterms:W3CDTF">2019-04-08T19:40:00Z</dcterms:created>
  <dcterms:modified xsi:type="dcterms:W3CDTF">2019-05-14T16:15:00Z</dcterms:modified>
</cp:coreProperties>
</file>