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F95BA" w14:textId="6DB272E6" w:rsidR="00F55B58" w:rsidRPr="00C373A3" w:rsidRDefault="00F55B58" w:rsidP="005B0A9F">
      <w:pPr>
        <w:spacing w:line="276" w:lineRule="auto"/>
      </w:pPr>
      <w:r w:rsidRPr="00C373A3">
        <w:t>Slide 1:</w:t>
      </w:r>
    </w:p>
    <w:p w14:paraId="71EEC73B" w14:textId="0D9C81EA" w:rsidR="00F55B58" w:rsidRPr="00C373A3" w:rsidRDefault="00F55B58" w:rsidP="005B0A9F">
      <w:pPr>
        <w:spacing w:line="276" w:lineRule="auto"/>
      </w:pPr>
      <w:r w:rsidRPr="00C373A3">
        <w:t>Welcome to the webcast covering Attachment 1</w:t>
      </w:r>
      <w:r w:rsidR="00FD1317" w:rsidRPr="00C373A3">
        <w:t>1</w:t>
      </w:r>
      <w:r w:rsidRPr="00C373A3">
        <w:t xml:space="preserve"> of TEGL </w:t>
      </w:r>
      <w:r w:rsidR="004C4E93" w:rsidRPr="00C373A3">
        <w:t xml:space="preserve">No. </w:t>
      </w:r>
      <w:r w:rsidRPr="00C373A3">
        <w:t xml:space="preserve">14-18, </w:t>
      </w:r>
      <w:r w:rsidRPr="00C373A3">
        <w:rPr>
          <w:i/>
        </w:rPr>
        <w:t>Aligning Performance Accountability Reporting, Definitions, and Policies Across Workforce Employment and Training Programs Administered by the U.S. Department of Labor</w:t>
      </w:r>
      <w:r w:rsidRPr="00C373A3">
        <w:t>.</w:t>
      </w:r>
      <w:r w:rsidR="00D04B31" w:rsidRPr="00C373A3">
        <w:t xml:space="preserve">  This attachment covers the YouthBuild-specific aspects of this guidance.</w:t>
      </w:r>
    </w:p>
    <w:p w14:paraId="3B83B2EE" w14:textId="1DFEACB7" w:rsidR="00F55B58" w:rsidRPr="00C373A3" w:rsidRDefault="00F55B58" w:rsidP="005B0A9F">
      <w:pPr>
        <w:spacing w:line="276" w:lineRule="auto"/>
      </w:pPr>
      <w:r w:rsidRPr="00C373A3">
        <w:t>Slide 2:</w:t>
      </w:r>
    </w:p>
    <w:p w14:paraId="4E34B821" w14:textId="1A733309" w:rsidR="00F55B58" w:rsidRPr="00C373A3" w:rsidRDefault="001E2AA8" w:rsidP="005B0A9F">
      <w:pPr>
        <w:spacing w:line="276" w:lineRule="auto"/>
      </w:pPr>
      <w:r w:rsidRPr="00C373A3">
        <w:t xml:space="preserve">We are going to talk about how </w:t>
      </w:r>
      <w:r w:rsidR="00FD1317" w:rsidRPr="00C373A3">
        <w:t xml:space="preserve">YouthBuild </w:t>
      </w:r>
      <w:r w:rsidRPr="00C373A3">
        <w:t>policy compares to the main TEGL across these areas.  This broadly follows the same structure as Attachment 1</w:t>
      </w:r>
      <w:r w:rsidR="00FD1317" w:rsidRPr="00C373A3">
        <w:t>1</w:t>
      </w:r>
      <w:r w:rsidRPr="00C373A3">
        <w:t>, so I encourage you to use that document to follow along with this discussion.</w:t>
      </w:r>
    </w:p>
    <w:p w14:paraId="62EA68CB" w14:textId="7475A0AB" w:rsidR="00F55B58" w:rsidRPr="00C373A3" w:rsidRDefault="001E2AA8" w:rsidP="005B0A9F">
      <w:pPr>
        <w:spacing w:line="276" w:lineRule="auto"/>
      </w:pPr>
      <w:r w:rsidRPr="00C373A3">
        <w:t>Slide 3:</w:t>
      </w:r>
    </w:p>
    <w:p w14:paraId="5FA1A32D" w14:textId="6C929DAA" w:rsidR="001E2AA8" w:rsidRPr="00C373A3" w:rsidRDefault="00FD1317" w:rsidP="005B0A9F">
      <w:pPr>
        <w:spacing w:line="276" w:lineRule="auto"/>
      </w:pPr>
      <w:r w:rsidRPr="00C373A3">
        <w:t>YouthBuild</w:t>
      </w:r>
      <w:r w:rsidR="001E2AA8" w:rsidRPr="00C373A3">
        <w:t xml:space="preserve"> uses the standard formulas for calculating the primary </w:t>
      </w:r>
      <w:r w:rsidRPr="00C373A3">
        <w:t xml:space="preserve">WIOA Title I Youth </w:t>
      </w:r>
      <w:r w:rsidR="001E2AA8" w:rsidRPr="00C373A3">
        <w:t xml:space="preserve">indicators: </w:t>
      </w:r>
      <w:r w:rsidRPr="00C373A3">
        <w:t xml:space="preserve">Youth Education and </w:t>
      </w:r>
      <w:r w:rsidR="001E2AA8" w:rsidRPr="00C373A3">
        <w:t xml:space="preserve">Employment Rate second quarter, </w:t>
      </w:r>
      <w:r w:rsidRPr="00C373A3">
        <w:t xml:space="preserve">Youth Education and </w:t>
      </w:r>
      <w:r w:rsidR="001E2AA8" w:rsidRPr="00C373A3">
        <w:t xml:space="preserve">Employment Rate fourth quarter, Median Earnings in the second quarter, credential attainment, </w:t>
      </w:r>
      <w:r w:rsidRPr="00C373A3">
        <w:t>m</w:t>
      </w:r>
      <w:r w:rsidR="001E2AA8" w:rsidRPr="00C373A3">
        <w:t>easurable skill gains</w:t>
      </w:r>
      <w:r w:rsidRPr="00C373A3">
        <w:t>, and</w:t>
      </w:r>
      <w:r w:rsidR="001E2AA8" w:rsidRPr="00C373A3">
        <w:t xml:space="preserve"> Effectiveness in Serving Employers.</w:t>
      </w:r>
    </w:p>
    <w:p w14:paraId="76A23B11" w14:textId="4830B1F8" w:rsidR="00FD1317" w:rsidRPr="00C373A3" w:rsidRDefault="00FD1317" w:rsidP="005B0A9F">
      <w:pPr>
        <w:spacing w:line="276" w:lineRule="auto"/>
      </w:pPr>
      <w:r w:rsidRPr="00C373A3">
        <w:t xml:space="preserve">As YouthBuild is a program in which all participants must receive both education and training, this means that all enrolled </w:t>
      </w:r>
      <w:r w:rsidR="00D04B31" w:rsidRPr="00C373A3">
        <w:t xml:space="preserve">participants </w:t>
      </w:r>
      <w:r w:rsidRPr="00C373A3">
        <w:t>will automatically be counted in the denominator for the two indicators marked with an asterisk on this slide – credential attainment and measurable skill gains.</w:t>
      </w:r>
    </w:p>
    <w:p w14:paraId="431D8E5C" w14:textId="04A25507" w:rsidR="001E2AA8" w:rsidRPr="00C373A3" w:rsidRDefault="001E2AA8" w:rsidP="005B0A9F">
      <w:pPr>
        <w:spacing w:line="276" w:lineRule="auto"/>
      </w:pPr>
      <w:r w:rsidRPr="00C373A3">
        <w:t>Slide 4:</w:t>
      </w:r>
    </w:p>
    <w:p w14:paraId="62A48E36" w14:textId="0F284745" w:rsidR="001E2AA8" w:rsidRPr="00C373A3" w:rsidRDefault="001E2AA8" w:rsidP="005B0A9F">
      <w:pPr>
        <w:spacing w:line="276" w:lineRule="auto"/>
      </w:pPr>
      <w:r w:rsidRPr="00C373A3">
        <w:t xml:space="preserve">Unlike other programs, </w:t>
      </w:r>
      <w:r w:rsidR="00FD1317" w:rsidRPr="00C373A3">
        <w:t>YouthBuild</w:t>
      </w:r>
      <w:r w:rsidRPr="00C373A3">
        <w:t xml:space="preserve"> does no</w:t>
      </w:r>
      <w:r w:rsidR="00D04B31" w:rsidRPr="00C373A3">
        <w:t>t use the concept of reportable individuals and does not</w:t>
      </w:r>
      <w:r w:rsidRPr="00C373A3">
        <w:t xml:space="preserve"> track</w:t>
      </w:r>
      <w:r w:rsidR="00D04B31" w:rsidRPr="00C373A3">
        <w:t xml:space="preserve"> participants not provided YouthBuild services</w:t>
      </w:r>
      <w:r w:rsidRPr="00C373A3">
        <w:t xml:space="preserve">.  Only </w:t>
      </w:r>
      <w:r w:rsidR="00DC07BE" w:rsidRPr="00C373A3">
        <w:t>YouthBuild</w:t>
      </w:r>
      <w:r w:rsidRPr="00C373A3">
        <w:t xml:space="preserve"> participants, those eligible individuals who received </w:t>
      </w:r>
      <w:r w:rsidR="00DC07BE" w:rsidRPr="00C373A3">
        <w:t>at least one core YouthBuild service</w:t>
      </w:r>
      <w:r w:rsidRPr="00C373A3">
        <w:t xml:space="preserve">, are reported in the PIRL for the purposes of </w:t>
      </w:r>
      <w:r w:rsidR="00DC07BE" w:rsidRPr="00C373A3">
        <w:t xml:space="preserve">YouthBuild </w:t>
      </w:r>
      <w:r w:rsidRPr="00C373A3">
        <w:t>reporting.</w:t>
      </w:r>
    </w:p>
    <w:p w14:paraId="5027D81A" w14:textId="1BA105D9" w:rsidR="006A776B" w:rsidRPr="00C373A3" w:rsidRDefault="006A776B" w:rsidP="005B0A9F">
      <w:pPr>
        <w:spacing w:line="276" w:lineRule="auto"/>
      </w:pPr>
      <w:r w:rsidRPr="00C373A3">
        <w:t>Slide 5:</w:t>
      </w:r>
    </w:p>
    <w:p w14:paraId="5E0DAD83" w14:textId="5F22044B" w:rsidR="00C90747" w:rsidRDefault="00F72733" w:rsidP="005B0A9F">
      <w:pPr>
        <w:spacing w:line="276" w:lineRule="auto"/>
      </w:pPr>
      <w:r w:rsidRPr="00C373A3">
        <w:t>YouthBuild</w:t>
      </w:r>
      <w:r w:rsidR="006A776B" w:rsidRPr="00C373A3">
        <w:t xml:space="preserve"> follows the </w:t>
      </w:r>
      <w:r w:rsidR="00751951" w:rsidRPr="00C373A3">
        <w:t xml:space="preserve">consistent WIOA </w:t>
      </w:r>
      <w:r w:rsidR="006A776B" w:rsidRPr="00C373A3">
        <w:t xml:space="preserve">exit rule that can be seen </w:t>
      </w:r>
      <w:r w:rsidR="004C4E93" w:rsidRPr="00C373A3">
        <w:t>on this screen</w:t>
      </w:r>
      <w:r w:rsidR="006A776B" w:rsidRPr="00C373A3">
        <w:t xml:space="preserve">.  Participants exit when no </w:t>
      </w:r>
      <w:r w:rsidR="00751951" w:rsidRPr="00C373A3">
        <w:t xml:space="preserve">core </w:t>
      </w:r>
      <w:r w:rsidR="006A776B" w:rsidRPr="00C373A3">
        <w:t>services have been provided within 90 days and there are no future services scheduled</w:t>
      </w:r>
      <w:r w:rsidR="00751951" w:rsidRPr="00C373A3">
        <w:t xml:space="preserve"> or anticipated</w:t>
      </w:r>
      <w:r w:rsidR="006A776B" w:rsidRPr="00C373A3">
        <w:t xml:space="preserve">.  </w:t>
      </w:r>
      <w:r w:rsidR="00C373A3" w:rsidRPr="00C373A3">
        <w:t>YouthBuild does not provide self</w:t>
      </w:r>
      <w:r w:rsidR="00E8221E" w:rsidRPr="00C373A3">
        <w:t xml:space="preserve">-service and information-only </w:t>
      </w:r>
      <w:r w:rsidR="00C373A3" w:rsidRPr="00C373A3">
        <w:rPr>
          <w:rStyle w:val="CommentReference"/>
          <w:sz w:val="22"/>
          <w:szCs w:val="22"/>
        </w:rPr>
        <w:t>services</w:t>
      </w:r>
      <w:r w:rsidR="00E8221E" w:rsidRPr="00C373A3">
        <w:t xml:space="preserve">. </w:t>
      </w:r>
      <w:r w:rsidR="00751951" w:rsidRPr="00C373A3">
        <w:t xml:space="preserve"> </w:t>
      </w:r>
    </w:p>
    <w:p w14:paraId="4C993205" w14:textId="607627C2" w:rsidR="00C90747" w:rsidRDefault="00C90747" w:rsidP="005B0A9F">
      <w:pPr>
        <w:spacing w:line="276" w:lineRule="auto"/>
      </w:pPr>
      <w:r w:rsidRPr="00C90747">
        <w:t>YouthBuild participants who exit for any of the reasons described in TEGL 10-16, Change 1, Attachment 2, Table B are excluded from performance calculations.</w:t>
      </w:r>
      <w:r>
        <w:t xml:space="preserve"> These reasons include institutionalization, extended medical treatment, relocation due to the foster care system, and death.</w:t>
      </w:r>
    </w:p>
    <w:p w14:paraId="0B6A22C9" w14:textId="781EBF21" w:rsidR="006A776B" w:rsidRPr="00C373A3" w:rsidRDefault="00751951" w:rsidP="005B0A9F">
      <w:pPr>
        <w:spacing w:line="276" w:lineRule="auto"/>
      </w:pPr>
      <w:r w:rsidRPr="00C373A3">
        <w:t xml:space="preserve">While </w:t>
      </w:r>
      <w:r w:rsidR="00E8221E" w:rsidRPr="00C373A3">
        <w:t>DOL</w:t>
      </w:r>
      <w:r w:rsidR="006A776B" w:rsidRPr="00C373A3">
        <w:t xml:space="preserve"> encourages states </w:t>
      </w:r>
      <w:r w:rsidR="00090A36" w:rsidRPr="00C373A3">
        <w:t>that</w:t>
      </w:r>
      <w:r w:rsidR="004C4E93" w:rsidRPr="00C373A3">
        <w:t xml:space="preserve"> </w:t>
      </w:r>
      <w:r w:rsidR="006A776B" w:rsidRPr="00C373A3">
        <w:t xml:space="preserve">adopt a common exit policy </w:t>
      </w:r>
      <w:r w:rsidR="00090A36" w:rsidRPr="00C373A3">
        <w:t>to include DOL-administered non-core programs such as YouthBuild</w:t>
      </w:r>
      <w:r w:rsidRPr="00C373A3">
        <w:t>, d</w:t>
      </w:r>
      <w:r w:rsidR="00090A36" w:rsidRPr="00C373A3">
        <w:t xml:space="preserve">ue to the longer-term nature of the YouthBuild program, combined with the separate and discretionary reporting process and statutory requirement that YouthBuild participants cannot be served for more than two years, common exit may be difficult to implement for </w:t>
      </w:r>
      <w:r w:rsidR="005830FA">
        <w:t xml:space="preserve">states </w:t>
      </w:r>
      <w:r w:rsidR="00090A36" w:rsidRPr="00C373A3">
        <w:t>including</w:t>
      </w:r>
      <w:r w:rsidR="005830FA">
        <w:t xml:space="preserve"> </w:t>
      </w:r>
      <w:r w:rsidR="00090A36" w:rsidRPr="00C373A3">
        <w:t>YouthBuild programs.</w:t>
      </w:r>
    </w:p>
    <w:p w14:paraId="70569D2B" w14:textId="7F18874C" w:rsidR="00FD07CD" w:rsidRPr="00C373A3" w:rsidRDefault="00FD07CD" w:rsidP="005B0A9F">
      <w:pPr>
        <w:spacing w:line="276" w:lineRule="auto"/>
      </w:pPr>
      <w:r w:rsidRPr="00C373A3">
        <w:t>Slide 6:</w:t>
      </w:r>
    </w:p>
    <w:p w14:paraId="44F3F1F7" w14:textId="10ADF662" w:rsidR="00090A36" w:rsidRPr="00C373A3" w:rsidRDefault="00090A36" w:rsidP="00090A36">
      <w:pPr>
        <w:spacing w:line="276" w:lineRule="auto"/>
      </w:pPr>
      <w:r w:rsidRPr="00C373A3">
        <w:lastRenderedPageBreak/>
        <w:t>YouthBuild will report using the Workforce Integrated Performance System on the PIRL schema for YouthBuild once the functionality has been built into the</w:t>
      </w:r>
      <w:r w:rsidR="00751951" w:rsidRPr="00C373A3">
        <w:t xml:space="preserve"> new</w:t>
      </w:r>
      <w:r w:rsidRPr="00C373A3">
        <w:t xml:space="preserve"> case management system </w:t>
      </w:r>
      <w:r w:rsidR="00751951" w:rsidRPr="00C373A3">
        <w:t xml:space="preserve">currently being developed for </w:t>
      </w:r>
      <w:r w:rsidRPr="00C373A3">
        <w:t>YouthBuild grantees by the Department. ETA-9173 (</w:t>
      </w:r>
      <w:r w:rsidR="00751951" w:rsidRPr="00C373A3">
        <w:t xml:space="preserve">the </w:t>
      </w:r>
      <w:r w:rsidRPr="00C373A3">
        <w:t>WIOA</w:t>
      </w:r>
      <w:r w:rsidR="00751951" w:rsidRPr="00C373A3">
        <w:t>-compliant</w:t>
      </w:r>
      <w:r w:rsidRPr="00C373A3">
        <w:t xml:space="preserve"> QPR generated in </w:t>
      </w:r>
      <w:r w:rsidR="00751951" w:rsidRPr="00C373A3">
        <w:t xml:space="preserve">the </w:t>
      </w:r>
      <w:r w:rsidRPr="00C373A3">
        <w:t>new case management system) will soon replace ETA-9136 (</w:t>
      </w:r>
      <w:r w:rsidR="00751951" w:rsidRPr="00C373A3">
        <w:t xml:space="preserve">the </w:t>
      </w:r>
      <w:r w:rsidRPr="00C373A3">
        <w:t>YouthBuild-specific QPR generated in</w:t>
      </w:r>
      <w:r w:rsidR="00751951" w:rsidRPr="00C373A3">
        <w:t xml:space="preserve"> the legacy</w:t>
      </w:r>
      <w:r w:rsidRPr="00C373A3">
        <w:t xml:space="preserve"> MIS</w:t>
      </w:r>
      <w:r w:rsidR="00751951" w:rsidRPr="00C373A3">
        <w:t xml:space="preserve"> that reports WIA outcomes</w:t>
      </w:r>
      <w:r w:rsidRPr="00C373A3">
        <w:t>).</w:t>
      </w:r>
      <w:r w:rsidR="00751951" w:rsidRPr="00C373A3">
        <w:t xml:space="preserve"> </w:t>
      </w:r>
      <w:r w:rsidRPr="00C373A3">
        <w:t xml:space="preserve">Grantees submitting </w:t>
      </w:r>
      <w:r w:rsidR="00751951" w:rsidRPr="00C373A3">
        <w:t xml:space="preserve">the </w:t>
      </w:r>
      <w:r w:rsidRPr="00C373A3">
        <w:t>ETA-9136</w:t>
      </w:r>
      <w:r w:rsidR="00751951" w:rsidRPr="00C373A3">
        <w:t xml:space="preserve"> using the legacy system</w:t>
      </w:r>
      <w:r w:rsidRPr="00C373A3">
        <w:t xml:space="preserve"> must attach supplemental reports that provide WIOA performance outcomes.</w:t>
      </w:r>
      <w:r w:rsidR="00D4113E" w:rsidRPr="00C373A3">
        <w:t xml:space="preserve">  It is anticipated that the WIOA-compliant case management system will be available in 201</w:t>
      </w:r>
      <w:r w:rsidR="00136B4F">
        <w:t>9</w:t>
      </w:r>
      <w:bookmarkStart w:id="0" w:name="_GoBack"/>
      <w:bookmarkEnd w:id="0"/>
      <w:r w:rsidR="00D4113E" w:rsidRPr="00C373A3">
        <w:t>.</w:t>
      </w:r>
    </w:p>
    <w:p w14:paraId="1BFD7E6B" w14:textId="2AF2F028" w:rsidR="00DB690C" w:rsidRPr="00C373A3" w:rsidRDefault="00DB690C" w:rsidP="00090A36">
      <w:pPr>
        <w:spacing w:line="276" w:lineRule="auto"/>
      </w:pPr>
      <w:r w:rsidRPr="00C373A3">
        <w:t>Slide 7:</w:t>
      </w:r>
    </w:p>
    <w:p w14:paraId="55A6F0D4" w14:textId="7F0CBE55" w:rsidR="00090A36" w:rsidRPr="00C373A3" w:rsidRDefault="00090A36" w:rsidP="00090A36">
      <w:pPr>
        <w:spacing w:line="276" w:lineRule="auto"/>
      </w:pPr>
      <w:r w:rsidRPr="00C373A3">
        <w:t>YouthBuild grantees are required to use the Joint Quarterly Narrative Report Template (ETA-9179). The ETA-9179 template is available to download via WorkforceGPS and must be submitted as an attachment with each Quarterly Performance Report</w:t>
      </w:r>
      <w:r w:rsidR="00D4113E" w:rsidRPr="00C373A3">
        <w:t>.</w:t>
      </w:r>
    </w:p>
    <w:p w14:paraId="299233CD" w14:textId="7E6B7D77" w:rsidR="00090A36" w:rsidRPr="00C373A3" w:rsidRDefault="00090A36" w:rsidP="005B0A9F">
      <w:pPr>
        <w:spacing w:line="276" w:lineRule="auto"/>
      </w:pPr>
      <w:r w:rsidRPr="00C373A3">
        <w:t>Slide 8:</w:t>
      </w:r>
    </w:p>
    <w:p w14:paraId="29756F96" w14:textId="4D8E7040" w:rsidR="00C373A3" w:rsidRDefault="00090A36" w:rsidP="00C373A3">
      <w:pPr>
        <w:pStyle w:val="CommentText"/>
      </w:pPr>
      <w:r w:rsidRPr="00AE415A">
        <w:rPr>
          <w:sz w:val="22"/>
          <w:szCs w:val="22"/>
        </w:rPr>
        <w:t>YouthBuild grantees must</w:t>
      </w:r>
      <w:r w:rsidR="00DB690C" w:rsidRPr="00AE415A">
        <w:rPr>
          <w:sz w:val="22"/>
          <w:szCs w:val="22"/>
        </w:rPr>
        <w:t xml:space="preserve"> request social security numbers from participants</w:t>
      </w:r>
      <w:r w:rsidR="00C373A3">
        <w:rPr>
          <w:sz w:val="22"/>
          <w:szCs w:val="22"/>
        </w:rPr>
        <w:t xml:space="preserve"> to enter in the case management system, which submits to the P</w:t>
      </w:r>
      <w:r w:rsidR="00AE415A">
        <w:rPr>
          <w:sz w:val="22"/>
          <w:szCs w:val="22"/>
        </w:rPr>
        <w:t>IRL for U</w:t>
      </w:r>
      <w:r w:rsidR="005830FA">
        <w:rPr>
          <w:sz w:val="22"/>
          <w:szCs w:val="22"/>
        </w:rPr>
        <w:t xml:space="preserve">nemployment </w:t>
      </w:r>
      <w:r w:rsidR="00AE415A">
        <w:rPr>
          <w:sz w:val="22"/>
          <w:szCs w:val="22"/>
        </w:rPr>
        <w:t>I</w:t>
      </w:r>
      <w:r w:rsidR="005830FA">
        <w:rPr>
          <w:sz w:val="22"/>
          <w:szCs w:val="22"/>
        </w:rPr>
        <w:t>nsurance</w:t>
      </w:r>
      <w:r w:rsidR="00AE415A">
        <w:rPr>
          <w:sz w:val="22"/>
          <w:szCs w:val="22"/>
        </w:rPr>
        <w:t xml:space="preserve"> wage record collection</w:t>
      </w:r>
      <w:r w:rsidR="00DB690C" w:rsidRPr="00AE415A">
        <w:rPr>
          <w:sz w:val="22"/>
          <w:szCs w:val="22"/>
        </w:rPr>
        <w:t xml:space="preserve">.  However, if a participant does not provide a social security number, it does not prevent them from accessing </w:t>
      </w:r>
      <w:r w:rsidRPr="00AE415A">
        <w:rPr>
          <w:sz w:val="22"/>
          <w:szCs w:val="22"/>
        </w:rPr>
        <w:t>YouthBuild services</w:t>
      </w:r>
      <w:r w:rsidR="00DB690C" w:rsidRPr="00AE415A">
        <w:rPr>
          <w:sz w:val="22"/>
          <w:szCs w:val="22"/>
        </w:rPr>
        <w:t xml:space="preserve">. </w:t>
      </w:r>
      <w:r w:rsidR="005830FA">
        <w:rPr>
          <w:sz w:val="22"/>
          <w:szCs w:val="22"/>
        </w:rPr>
        <w:t xml:space="preserve"> </w:t>
      </w:r>
    </w:p>
    <w:p w14:paraId="0ECF1127" w14:textId="171F2FC8" w:rsidR="00DB690C" w:rsidRPr="00C373A3" w:rsidRDefault="00090A36" w:rsidP="005B0A9F">
      <w:pPr>
        <w:spacing w:line="276" w:lineRule="auto"/>
      </w:pPr>
      <w:r w:rsidRPr="00C373A3">
        <w:t>Grantees</w:t>
      </w:r>
      <w:r w:rsidR="00DB690C" w:rsidRPr="00C373A3">
        <w:t xml:space="preserve"> are required to report participant wages</w:t>
      </w:r>
      <w:r w:rsidR="005830FA">
        <w:t xml:space="preserve"> for participant</w:t>
      </w:r>
      <w:r w:rsidR="00B7578D" w:rsidRPr="00C373A3">
        <w:t>s employed in the second quarter after exit.  S</w:t>
      </w:r>
      <w:r w:rsidR="00DB690C" w:rsidRPr="00C373A3">
        <w:t>upplemental wage information may be used</w:t>
      </w:r>
      <w:r w:rsidR="00B7578D" w:rsidRPr="00C373A3">
        <w:t xml:space="preserve">, such as pay stubs, </w:t>
      </w:r>
      <w:r w:rsidR="00DB690C" w:rsidRPr="00C373A3">
        <w:t xml:space="preserve">to obtain that wage information, particularly </w:t>
      </w:r>
      <w:r w:rsidR="004C4E93" w:rsidRPr="00C373A3">
        <w:t xml:space="preserve">when </w:t>
      </w:r>
      <w:r w:rsidR="00DB690C" w:rsidRPr="00C373A3">
        <w:t>that wage information is not available from U</w:t>
      </w:r>
      <w:r w:rsidR="00B7578D" w:rsidRPr="00C373A3">
        <w:t xml:space="preserve">nemployment </w:t>
      </w:r>
      <w:r w:rsidR="00DB690C" w:rsidRPr="00C373A3">
        <w:t>I</w:t>
      </w:r>
      <w:r w:rsidR="00B7578D" w:rsidRPr="00C373A3">
        <w:t>nsurance</w:t>
      </w:r>
      <w:r w:rsidR="00DB690C" w:rsidRPr="00C373A3">
        <w:t xml:space="preserve"> wage records</w:t>
      </w:r>
      <w:r w:rsidR="00B7578D" w:rsidRPr="00C373A3">
        <w:t>, or if the participant did not provide a social security number</w:t>
      </w:r>
      <w:r w:rsidR="00DB690C" w:rsidRPr="00C373A3">
        <w:t>.  This is discussed further in Appendix VI to the TEGL.</w:t>
      </w:r>
    </w:p>
    <w:p w14:paraId="3D86FE49" w14:textId="34FB9E7B" w:rsidR="00DB690C" w:rsidRPr="00C373A3" w:rsidRDefault="00DB690C" w:rsidP="005B0A9F">
      <w:pPr>
        <w:spacing w:line="276" w:lineRule="auto"/>
      </w:pPr>
      <w:r w:rsidRPr="00C373A3">
        <w:t xml:space="preserve">Slide </w:t>
      </w:r>
      <w:r w:rsidR="00090A36" w:rsidRPr="00C373A3">
        <w:t>9</w:t>
      </w:r>
      <w:r w:rsidRPr="00C373A3">
        <w:t>:</w:t>
      </w:r>
    </w:p>
    <w:p w14:paraId="67E98592" w14:textId="77777777" w:rsidR="00090A36" w:rsidRPr="00C373A3" w:rsidRDefault="00090A36" w:rsidP="00090A36">
      <w:pPr>
        <w:spacing w:line="276" w:lineRule="auto"/>
      </w:pPr>
      <w:r w:rsidRPr="00C373A3">
        <w:t>Finally, included on pages 6-8 of Attachment 11 is a table that provides additional useful information for YouthBuild grantees about how different YouthBuild services are to be reported through the DOL-only PIRL. The table includes information about the PIRL data element numbers, associated codes, and clarification on whether the receipt of such services delays the date of exit or not.</w:t>
      </w:r>
    </w:p>
    <w:p w14:paraId="34867A95" w14:textId="057F7551" w:rsidR="00221C28" w:rsidRPr="00C373A3" w:rsidRDefault="00221C28" w:rsidP="00090A36">
      <w:pPr>
        <w:spacing w:line="276" w:lineRule="auto"/>
      </w:pPr>
      <w:r w:rsidRPr="00C373A3">
        <w:t xml:space="preserve">Slide </w:t>
      </w:r>
      <w:r w:rsidR="00090A36" w:rsidRPr="00C373A3">
        <w:t>10</w:t>
      </w:r>
      <w:r w:rsidRPr="00C373A3">
        <w:t>:</w:t>
      </w:r>
    </w:p>
    <w:p w14:paraId="08BB485D" w14:textId="64E4E6D9" w:rsidR="00221C28" w:rsidRPr="00C373A3" w:rsidRDefault="00221C28" w:rsidP="005B0A9F">
      <w:pPr>
        <w:spacing w:line="276" w:lineRule="auto"/>
      </w:pPr>
      <w:r w:rsidRPr="00C373A3">
        <w:t xml:space="preserve">Here are </w:t>
      </w:r>
      <w:r w:rsidR="00090A36" w:rsidRPr="00C373A3">
        <w:t>YouthBuild</w:t>
      </w:r>
      <w:r w:rsidRPr="00C373A3">
        <w:t xml:space="preserve"> resources you will find helpful related to this guidance.  </w:t>
      </w:r>
    </w:p>
    <w:p w14:paraId="00FF9B9A" w14:textId="64E7B39F" w:rsidR="00221C28" w:rsidRPr="00C373A3" w:rsidRDefault="00221C28" w:rsidP="005B0A9F">
      <w:pPr>
        <w:spacing w:line="276" w:lineRule="auto"/>
      </w:pPr>
      <w:r w:rsidRPr="00C373A3">
        <w:t>Slide 1</w:t>
      </w:r>
      <w:r w:rsidR="00090A36" w:rsidRPr="00C373A3">
        <w:t>1</w:t>
      </w:r>
      <w:r w:rsidRPr="00C373A3">
        <w:t>:</w:t>
      </w:r>
    </w:p>
    <w:p w14:paraId="2175FF89" w14:textId="572A7B9B" w:rsidR="00221C28" w:rsidRPr="00C373A3" w:rsidRDefault="00221C28" w:rsidP="005B0A9F">
      <w:pPr>
        <w:spacing w:line="276" w:lineRule="auto"/>
      </w:pPr>
      <w:r w:rsidRPr="00C373A3">
        <w:t xml:space="preserve">Thank you for taking the time to learn more about TEGL </w:t>
      </w:r>
      <w:r w:rsidR="004D30A1" w:rsidRPr="00C373A3">
        <w:t xml:space="preserve">No. </w:t>
      </w:r>
      <w:r w:rsidR="0020337A" w:rsidRPr="00C373A3">
        <w:t>1</w:t>
      </w:r>
      <w:r w:rsidRPr="00C373A3">
        <w:t xml:space="preserve">4-18 and the </w:t>
      </w:r>
      <w:r w:rsidR="00090A36" w:rsidRPr="00C373A3">
        <w:t>YouthBuild</w:t>
      </w:r>
      <w:r w:rsidRPr="00C373A3">
        <w:t xml:space="preserve"> program!</w:t>
      </w:r>
    </w:p>
    <w:sectPr w:rsidR="00221C28" w:rsidRPr="00C373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1D7E86"/>
    <w:multiLevelType w:val="hybridMultilevel"/>
    <w:tmpl w:val="5D0ADAD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A9F"/>
    <w:rsid w:val="00003DDA"/>
    <w:rsid w:val="00090A36"/>
    <w:rsid w:val="00110488"/>
    <w:rsid w:val="00136B4F"/>
    <w:rsid w:val="001B0F9F"/>
    <w:rsid w:val="001C3BFD"/>
    <w:rsid w:val="001E2AA8"/>
    <w:rsid w:val="0020337A"/>
    <w:rsid w:val="00221C28"/>
    <w:rsid w:val="00222BC6"/>
    <w:rsid w:val="00286F63"/>
    <w:rsid w:val="002B664A"/>
    <w:rsid w:val="002D0DBC"/>
    <w:rsid w:val="003932A4"/>
    <w:rsid w:val="003A1CAF"/>
    <w:rsid w:val="004C4E93"/>
    <w:rsid w:val="004D30A1"/>
    <w:rsid w:val="004F2DAB"/>
    <w:rsid w:val="005830FA"/>
    <w:rsid w:val="005B0A9F"/>
    <w:rsid w:val="006461C0"/>
    <w:rsid w:val="006A776B"/>
    <w:rsid w:val="006B0417"/>
    <w:rsid w:val="006C6C18"/>
    <w:rsid w:val="00751951"/>
    <w:rsid w:val="00791869"/>
    <w:rsid w:val="007D4CEE"/>
    <w:rsid w:val="00814BBE"/>
    <w:rsid w:val="00945FC9"/>
    <w:rsid w:val="009B7B0D"/>
    <w:rsid w:val="009D7C73"/>
    <w:rsid w:val="00A741C7"/>
    <w:rsid w:val="00A94BB0"/>
    <w:rsid w:val="00AC26C6"/>
    <w:rsid w:val="00AE415A"/>
    <w:rsid w:val="00B12384"/>
    <w:rsid w:val="00B40ED2"/>
    <w:rsid w:val="00B438C5"/>
    <w:rsid w:val="00B67B11"/>
    <w:rsid w:val="00B7578D"/>
    <w:rsid w:val="00BB43CD"/>
    <w:rsid w:val="00C373A3"/>
    <w:rsid w:val="00C4123A"/>
    <w:rsid w:val="00C90747"/>
    <w:rsid w:val="00D04B31"/>
    <w:rsid w:val="00D1777A"/>
    <w:rsid w:val="00D4113E"/>
    <w:rsid w:val="00D557F3"/>
    <w:rsid w:val="00DB690C"/>
    <w:rsid w:val="00DB6942"/>
    <w:rsid w:val="00DC07BE"/>
    <w:rsid w:val="00E8221E"/>
    <w:rsid w:val="00EA1C19"/>
    <w:rsid w:val="00F177F1"/>
    <w:rsid w:val="00F55B58"/>
    <w:rsid w:val="00F72733"/>
    <w:rsid w:val="00F85FD4"/>
    <w:rsid w:val="00FA0F7C"/>
    <w:rsid w:val="00FD07CD"/>
    <w:rsid w:val="00FD1317"/>
    <w:rsid w:val="00FF0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18738"/>
  <w15:chartTrackingRefBased/>
  <w15:docId w15:val="{118B0151-2CCF-4AFC-9F2F-A82976770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B0A9F"/>
    <w:rPr>
      <w:sz w:val="16"/>
      <w:szCs w:val="16"/>
    </w:rPr>
  </w:style>
  <w:style w:type="paragraph" w:styleId="CommentText">
    <w:name w:val="annotation text"/>
    <w:basedOn w:val="Normal"/>
    <w:link w:val="CommentTextChar"/>
    <w:uiPriority w:val="99"/>
    <w:unhideWhenUsed/>
    <w:rsid w:val="005B0A9F"/>
    <w:pPr>
      <w:spacing w:line="240" w:lineRule="auto"/>
    </w:pPr>
    <w:rPr>
      <w:sz w:val="20"/>
      <w:szCs w:val="20"/>
    </w:rPr>
  </w:style>
  <w:style w:type="character" w:customStyle="1" w:styleId="CommentTextChar">
    <w:name w:val="Comment Text Char"/>
    <w:basedOn w:val="DefaultParagraphFont"/>
    <w:link w:val="CommentText"/>
    <w:uiPriority w:val="99"/>
    <w:rsid w:val="005B0A9F"/>
    <w:rPr>
      <w:sz w:val="20"/>
      <w:szCs w:val="20"/>
    </w:rPr>
  </w:style>
  <w:style w:type="paragraph" w:styleId="CommentSubject">
    <w:name w:val="annotation subject"/>
    <w:basedOn w:val="CommentText"/>
    <w:next w:val="CommentText"/>
    <w:link w:val="CommentSubjectChar"/>
    <w:uiPriority w:val="99"/>
    <w:semiHidden/>
    <w:unhideWhenUsed/>
    <w:rsid w:val="005B0A9F"/>
    <w:rPr>
      <w:b/>
      <w:bCs/>
    </w:rPr>
  </w:style>
  <w:style w:type="character" w:customStyle="1" w:styleId="CommentSubjectChar">
    <w:name w:val="Comment Subject Char"/>
    <w:basedOn w:val="CommentTextChar"/>
    <w:link w:val="CommentSubject"/>
    <w:uiPriority w:val="99"/>
    <w:semiHidden/>
    <w:rsid w:val="005B0A9F"/>
    <w:rPr>
      <w:b/>
      <w:bCs/>
      <w:sz w:val="20"/>
      <w:szCs w:val="20"/>
    </w:rPr>
  </w:style>
  <w:style w:type="paragraph" w:styleId="BalloonText">
    <w:name w:val="Balloon Text"/>
    <w:basedOn w:val="Normal"/>
    <w:link w:val="BalloonTextChar"/>
    <w:uiPriority w:val="99"/>
    <w:semiHidden/>
    <w:unhideWhenUsed/>
    <w:rsid w:val="005B0A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0A9F"/>
    <w:rPr>
      <w:rFonts w:ascii="Segoe UI" w:hAnsi="Segoe UI" w:cs="Segoe UI"/>
      <w:sz w:val="18"/>
      <w:szCs w:val="18"/>
    </w:rPr>
  </w:style>
  <w:style w:type="paragraph" w:styleId="ListParagraph">
    <w:name w:val="List Paragraph"/>
    <w:basedOn w:val="Normal"/>
    <w:uiPriority w:val="34"/>
    <w:qFormat/>
    <w:rsid w:val="00222BC6"/>
    <w:pPr>
      <w:ind w:left="720"/>
      <w:contextualSpacing/>
    </w:pPr>
  </w:style>
  <w:style w:type="character" w:styleId="Hyperlink">
    <w:name w:val="Hyperlink"/>
    <w:basedOn w:val="DefaultParagraphFont"/>
    <w:uiPriority w:val="99"/>
    <w:semiHidden/>
    <w:unhideWhenUsed/>
    <w:rsid w:val="00EA1C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6254483">
      <w:bodyDiv w:val="1"/>
      <w:marLeft w:val="0"/>
      <w:marRight w:val="0"/>
      <w:marTop w:val="0"/>
      <w:marBottom w:val="0"/>
      <w:divBdr>
        <w:top w:val="none" w:sz="0" w:space="0" w:color="auto"/>
        <w:left w:val="none" w:sz="0" w:space="0" w:color="auto"/>
        <w:bottom w:val="none" w:sz="0" w:space="0" w:color="auto"/>
        <w:right w:val="none" w:sz="0" w:space="0" w:color="auto"/>
      </w:divBdr>
      <w:divsChild>
        <w:div w:id="1292251108">
          <w:marLeft w:val="432"/>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2</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Grode, Kellen M - ETA</dc:creator>
  <cp:keywords/>
  <dc:description/>
  <cp:lastModifiedBy>Grace McCall</cp:lastModifiedBy>
  <cp:revision>18</cp:revision>
  <dcterms:created xsi:type="dcterms:W3CDTF">2019-03-29T18:57:00Z</dcterms:created>
  <dcterms:modified xsi:type="dcterms:W3CDTF">2019-05-14T15:17:00Z</dcterms:modified>
</cp:coreProperties>
</file>