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09538" w14:textId="77777777" w:rsidR="007557E3" w:rsidRDefault="007557E3" w:rsidP="007557E3">
      <w:pPr>
        <w:jc w:val="center"/>
        <w:rPr>
          <w:sz w:val="44"/>
          <w:szCs w:val="44"/>
        </w:rPr>
      </w:pPr>
    </w:p>
    <w:p w14:paraId="4D3F0ED2" w14:textId="77777777" w:rsidR="007557E3" w:rsidRDefault="007557E3" w:rsidP="007557E3">
      <w:pPr>
        <w:jc w:val="center"/>
        <w:rPr>
          <w:sz w:val="44"/>
          <w:szCs w:val="44"/>
        </w:rPr>
      </w:pPr>
    </w:p>
    <w:p w14:paraId="34B3C5B6" w14:textId="77777777" w:rsidR="007557E3" w:rsidRDefault="007557E3" w:rsidP="007557E3">
      <w:pPr>
        <w:jc w:val="center"/>
        <w:rPr>
          <w:sz w:val="44"/>
          <w:szCs w:val="44"/>
        </w:rPr>
      </w:pPr>
    </w:p>
    <w:p w14:paraId="023A7593" w14:textId="77777777" w:rsidR="007557E3" w:rsidRDefault="007557E3" w:rsidP="007557E3">
      <w:pPr>
        <w:jc w:val="center"/>
        <w:rPr>
          <w:sz w:val="44"/>
          <w:szCs w:val="44"/>
        </w:rPr>
      </w:pPr>
    </w:p>
    <w:p w14:paraId="54105CFF" w14:textId="77777777" w:rsidR="007557E3" w:rsidRDefault="007557E3" w:rsidP="007557E3">
      <w:pPr>
        <w:jc w:val="center"/>
        <w:rPr>
          <w:sz w:val="44"/>
          <w:szCs w:val="44"/>
        </w:rPr>
      </w:pPr>
    </w:p>
    <w:p w14:paraId="48BF1247" w14:textId="77777777" w:rsidR="007557E3" w:rsidRDefault="007557E3" w:rsidP="007557E3">
      <w:pPr>
        <w:jc w:val="center"/>
        <w:rPr>
          <w:sz w:val="44"/>
          <w:szCs w:val="44"/>
        </w:rPr>
      </w:pPr>
    </w:p>
    <w:p w14:paraId="0CA736B9" w14:textId="77777777" w:rsidR="007557E3" w:rsidRDefault="007557E3" w:rsidP="007557E3">
      <w:pPr>
        <w:jc w:val="center"/>
        <w:rPr>
          <w:sz w:val="44"/>
          <w:szCs w:val="44"/>
        </w:rPr>
      </w:pPr>
    </w:p>
    <w:p w14:paraId="2617EF97" w14:textId="652D0F0C" w:rsidR="00CD0B0A" w:rsidRPr="007557E3" w:rsidRDefault="007557E3" w:rsidP="007557E3">
      <w:pPr>
        <w:jc w:val="center"/>
        <w:rPr>
          <w:sz w:val="44"/>
          <w:szCs w:val="44"/>
        </w:rPr>
      </w:pPr>
      <w:r w:rsidRPr="007557E3">
        <w:rPr>
          <w:sz w:val="44"/>
          <w:szCs w:val="44"/>
        </w:rPr>
        <w:t>Transcript for</w:t>
      </w:r>
    </w:p>
    <w:p w14:paraId="4385591F" w14:textId="270A9411" w:rsidR="007557E3" w:rsidRPr="007557E3" w:rsidRDefault="007557E3" w:rsidP="007557E3">
      <w:pPr>
        <w:jc w:val="center"/>
        <w:rPr>
          <w:sz w:val="44"/>
          <w:szCs w:val="44"/>
        </w:rPr>
      </w:pPr>
      <w:r>
        <w:rPr>
          <w:sz w:val="44"/>
          <w:szCs w:val="44"/>
        </w:rPr>
        <w:t>“</w:t>
      </w:r>
      <w:r w:rsidRPr="007557E3">
        <w:rPr>
          <w:sz w:val="44"/>
          <w:szCs w:val="44"/>
        </w:rPr>
        <w:t>Title I and Wagner-</w:t>
      </w:r>
      <w:proofErr w:type="spellStart"/>
      <w:r w:rsidRPr="007557E3">
        <w:rPr>
          <w:sz w:val="44"/>
          <w:szCs w:val="44"/>
        </w:rPr>
        <w:t>Peyser</w:t>
      </w:r>
      <w:proofErr w:type="spellEnd"/>
      <w:r w:rsidRPr="007557E3">
        <w:rPr>
          <w:sz w:val="44"/>
          <w:szCs w:val="44"/>
        </w:rPr>
        <w:t xml:space="preserve"> Act Waiver Requirements and Request Process</w:t>
      </w:r>
      <w:r>
        <w:rPr>
          <w:sz w:val="44"/>
          <w:szCs w:val="44"/>
        </w:rPr>
        <w:t>”</w:t>
      </w:r>
    </w:p>
    <w:p w14:paraId="16BF1B27" w14:textId="05EB1840" w:rsidR="007557E3" w:rsidRDefault="007557E3" w:rsidP="007557E3">
      <w:pPr>
        <w:jc w:val="center"/>
        <w:rPr>
          <w:sz w:val="44"/>
          <w:szCs w:val="44"/>
        </w:rPr>
      </w:pPr>
      <w:r w:rsidRPr="007557E3">
        <w:rPr>
          <w:sz w:val="44"/>
          <w:szCs w:val="44"/>
        </w:rPr>
        <w:t>Webcast</w:t>
      </w:r>
    </w:p>
    <w:p w14:paraId="270DF5D7" w14:textId="5D9D017C" w:rsidR="007557E3" w:rsidRDefault="007557E3" w:rsidP="007557E3">
      <w:pPr>
        <w:jc w:val="center"/>
        <w:rPr>
          <w:sz w:val="44"/>
          <w:szCs w:val="44"/>
        </w:rPr>
      </w:pPr>
    </w:p>
    <w:p w14:paraId="6B4EDDB7" w14:textId="4B9CB65B" w:rsidR="007557E3" w:rsidRDefault="007557E3" w:rsidP="007557E3">
      <w:pPr>
        <w:jc w:val="center"/>
        <w:rPr>
          <w:sz w:val="44"/>
          <w:szCs w:val="44"/>
        </w:rPr>
      </w:pPr>
    </w:p>
    <w:p w14:paraId="560CAB15" w14:textId="3F0C1F4B" w:rsidR="007557E3" w:rsidRDefault="007557E3" w:rsidP="007557E3">
      <w:pPr>
        <w:jc w:val="center"/>
        <w:rPr>
          <w:sz w:val="44"/>
          <w:szCs w:val="44"/>
        </w:rPr>
      </w:pPr>
    </w:p>
    <w:p w14:paraId="4F1951D8" w14:textId="19659DE4" w:rsidR="007557E3" w:rsidRDefault="007557E3" w:rsidP="007557E3">
      <w:pPr>
        <w:jc w:val="center"/>
        <w:rPr>
          <w:sz w:val="44"/>
          <w:szCs w:val="44"/>
        </w:rPr>
      </w:pPr>
    </w:p>
    <w:p w14:paraId="6A67062C" w14:textId="0D64B7BB" w:rsidR="007557E3" w:rsidRDefault="007557E3" w:rsidP="007557E3">
      <w:pPr>
        <w:jc w:val="center"/>
        <w:rPr>
          <w:sz w:val="44"/>
          <w:szCs w:val="44"/>
        </w:rPr>
      </w:pPr>
    </w:p>
    <w:p w14:paraId="6BE92A11" w14:textId="6AFFC3A9" w:rsidR="007557E3" w:rsidRDefault="007557E3" w:rsidP="007557E3">
      <w:pPr>
        <w:jc w:val="center"/>
        <w:rPr>
          <w:sz w:val="44"/>
          <w:szCs w:val="44"/>
        </w:rPr>
      </w:pPr>
    </w:p>
    <w:p w14:paraId="71022367" w14:textId="7A150DBE" w:rsidR="007557E3" w:rsidRDefault="007557E3" w:rsidP="007557E3">
      <w:pPr>
        <w:jc w:val="center"/>
        <w:rPr>
          <w:sz w:val="44"/>
          <w:szCs w:val="44"/>
        </w:rPr>
      </w:pPr>
    </w:p>
    <w:p w14:paraId="14BD1E73" w14:textId="31C26241" w:rsidR="007557E3" w:rsidRDefault="007557E3" w:rsidP="007557E3">
      <w:pPr>
        <w:rPr>
          <w:sz w:val="24"/>
          <w:szCs w:val="24"/>
        </w:rPr>
      </w:pPr>
      <w:r>
        <w:rPr>
          <w:sz w:val="24"/>
          <w:szCs w:val="24"/>
        </w:rPr>
        <w:lastRenderedPageBreak/>
        <w:t xml:space="preserve">SLIDE 1: </w:t>
      </w:r>
      <w:r w:rsidRPr="007557E3">
        <w:rPr>
          <w:sz w:val="24"/>
          <w:szCs w:val="24"/>
        </w:rPr>
        <w:t>Good morning and welcome to today’s webcast on Workforce Innovation and Opportunity Act and Wagner-</w:t>
      </w:r>
      <w:proofErr w:type="spellStart"/>
      <w:r w:rsidRPr="007557E3">
        <w:rPr>
          <w:sz w:val="24"/>
          <w:szCs w:val="24"/>
        </w:rPr>
        <w:t>Peyser</w:t>
      </w:r>
      <w:proofErr w:type="spellEnd"/>
      <w:r w:rsidRPr="007557E3">
        <w:rPr>
          <w:sz w:val="24"/>
          <w:szCs w:val="24"/>
        </w:rPr>
        <w:t xml:space="preserve"> Act waivers. This session will feature an overview of the waiver process </w:t>
      </w:r>
      <w:proofErr w:type="gramStart"/>
      <w:r w:rsidRPr="007557E3">
        <w:rPr>
          <w:sz w:val="24"/>
          <w:szCs w:val="24"/>
        </w:rPr>
        <w:t>from request development,</w:t>
      </w:r>
      <w:proofErr w:type="gramEnd"/>
      <w:r w:rsidRPr="007557E3">
        <w:rPr>
          <w:sz w:val="24"/>
          <w:szCs w:val="24"/>
        </w:rPr>
        <w:t xml:space="preserve"> to submission, ETA review, implementation, and monitoring.</w:t>
      </w:r>
    </w:p>
    <w:p w14:paraId="0ADB45FE" w14:textId="37609B55" w:rsidR="007557E3" w:rsidRDefault="007557E3" w:rsidP="007557E3">
      <w:pPr>
        <w:rPr>
          <w:sz w:val="24"/>
          <w:szCs w:val="24"/>
        </w:rPr>
      </w:pPr>
      <w:r>
        <w:rPr>
          <w:sz w:val="24"/>
          <w:szCs w:val="24"/>
        </w:rPr>
        <w:t xml:space="preserve">SLIDE 2: </w:t>
      </w:r>
      <w:r w:rsidRPr="007557E3">
        <w:rPr>
          <w:sz w:val="24"/>
          <w:szCs w:val="24"/>
        </w:rPr>
        <w:t xml:space="preserve">My name is Sean </w:t>
      </w:r>
      <w:proofErr w:type="gramStart"/>
      <w:r w:rsidRPr="007557E3">
        <w:rPr>
          <w:sz w:val="24"/>
          <w:szCs w:val="24"/>
        </w:rPr>
        <w:t>Fox</w:t>
      </w:r>
      <w:proofErr w:type="gramEnd"/>
      <w:r w:rsidRPr="007557E3">
        <w:rPr>
          <w:sz w:val="24"/>
          <w:szCs w:val="24"/>
        </w:rPr>
        <w:t xml:space="preserve"> and I am with the Governance Unit in the Office of Workforce Investment. I have had the pleasure of working with WIOA waivers since 2009. In that time the Department’s approach to waivers has continuously shifted to reflect nation-wide economic and workforce trends, as well as the Department’s priorities. However, throughout this time, the overall waiver process has remained largely the same.  </w:t>
      </w:r>
    </w:p>
    <w:p w14:paraId="7BF882A8" w14:textId="07EA3148" w:rsidR="007557E3" w:rsidRDefault="007557E3" w:rsidP="007557E3">
      <w:pPr>
        <w:rPr>
          <w:sz w:val="24"/>
          <w:szCs w:val="24"/>
        </w:rPr>
      </w:pPr>
      <w:r>
        <w:rPr>
          <w:sz w:val="24"/>
          <w:szCs w:val="24"/>
        </w:rPr>
        <w:t>SLIDE 3:</w:t>
      </w:r>
      <w:r>
        <w:t xml:space="preserve"> </w:t>
      </w:r>
      <w:r w:rsidRPr="007557E3">
        <w:rPr>
          <w:sz w:val="24"/>
          <w:szCs w:val="24"/>
        </w:rPr>
        <w:t xml:space="preserve">The goals of </w:t>
      </w:r>
      <w:proofErr w:type="spellStart"/>
      <w:r w:rsidRPr="007557E3">
        <w:rPr>
          <w:sz w:val="24"/>
          <w:szCs w:val="24"/>
        </w:rPr>
        <w:t>todays</w:t>
      </w:r>
      <w:proofErr w:type="spellEnd"/>
      <w:r w:rsidRPr="007557E3">
        <w:rPr>
          <w:sz w:val="24"/>
          <w:szCs w:val="24"/>
        </w:rPr>
        <w:t xml:space="preserve"> session are to increase awareness and understanding of:</w:t>
      </w:r>
      <w:r>
        <w:rPr>
          <w:sz w:val="24"/>
          <w:szCs w:val="24"/>
        </w:rPr>
        <w:t xml:space="preserve"> t</w:t>
      </w:r>
      <w:r w:rsidRPr="007557E3">
        <w:rPr>
          <w:sz w:val="24"/>
          <w:szCs w:val="24"/>
        </w:rPr>
        <w:t>he WIOA waiver requirements</w:t>
      </w:r>
      <w:r>
        <w:rPr>
          <w:sz w:val="24"/>
          <w:szCs w:val="24"/>
        </w:rPr>
        <w:t>, r</w:t>
      </w:r>
      <w:r w:rsidRPr="007557E3">
        <w:rPr>
          <w:sz w:val="24"/>
          <w:szCs w:val="24"/>
        </w:rPr>
        <w:t>esources for developing a quality waiver request</w:t>
      </w:r>
      <w:r>
        <w:rPr>
          <w:sz w:val="24"/>
          <w:szCs w:val="24"/>
        </w:rPr>
        <w:t>, t</w:t>
      </w:r>
      <w:r w:rsidRPr="007557E3">
        <w:rPr>
          <w:sz w:val="24"/>
          <w:szCs w:val="24"/>
        </w:rPr>
        <w:t>he Department’s focus on projected outcomes and results</w:t>
      </w:r>
      <w:r>
        <w:rPr>
          <w:sz w:val="24"/>
          <w:szCs w:val="24"/>
        </w:rPr>
        <w:t>, u</w:t>
      </w:r>
      <w:r w:rsidRPr="007557E3">
        <w:rPr>
          <w:sz w:val="24"/>
          <w:szCs w:val="24"/>
        </w:rPr>
        <w:t>nderstanding the waiver review process</w:t>
      </w:r>
      <w:r>
        <w:rPr>
          <w:sz w:val="24"/>
          <w:szCs w:val="24"/>
        </w:rPr>
        <w:t>, and w</w:t>
      </w:r>
      <w:r w:rsidRPr="007557E3">
        <w:rPr>
          <w:sz w:val="24"/>
          <w:szCs w:val="24"/>
        </w:rPr>
        <w:t>hat happens post-approval/waiver monitoring</w:t>
      </w:r>
      <w:r>
        <w:rPr>
          <w:sz w:val="24"/>
          <w:szCs w:val="24"/>
        </w:rPr>
        <w:t>.</w:t>
      </w:r>
    </w:p>
    <w:p w14:paraId="685D0125" w14:textId="2F5BFF07" w:rsidR="007557E3" w:rsidRPr="007557E3" w:rsidRDefault="007557E3" w:rsidP="007557E3">
      <w:pPr>
        <w:rPr>
          <w:sz w:val="24"/>
          <w:szCs w:val="24"/>
        </w:rPr>
      </w:pPr>
      <w:r>
        <w:rPr>
          <w:sz w:val="24"/>
          <w:szCs w:val="24"/>
        </w:rPr>
        <w:t xml:space="preserve">SLIDE 4: </w:t>
      </w:r>
      <w:r w:rsidRPr="007557E3">
        <w:rPr>
          <w:sz w:val="24"/>
          <w:szCs w:val="24"/>
        </w:rPr>
        <w:t>The Department is committed to empowering states and local workforce areas with flexibility and programmatic control to further enable them to achieve their goals. Waivers are a tool built into the statute for reducing barriers and spurring innovative programming options. A waiver lets states alter or eliminate certain WIOA requirements in exchange for improving outcomes (be it the WIOA performance indicators or other specific and measurable state targets).</w:t>
      </w:r>
    </w:p>
    <w:p w14:paraId="5F7AF4FB" w14:textId="5301E39F" w:rsidR="007557E3" w:rsidRDefault="007557E3" w:rsidP="007557E3">
      <w:pPr>
        <w:rPr>
          <w:sz w:val="24"/>
          <w:szCs w:val="24"/>
        </w:rPr>
      </w:pPr>
      <w:r w:rsidRPr="007557E3">
        <w:rPr>
          <w:sz w:val="24"/>
          <w:szCs w:val="24"/>
        </w:rPr>
        <w:t>The Department believes that state and local stakeholders have a unique understanding of their economic and workforce needs. As such, the Secretary’s waiver authority may be utilized to respond to these needs.</w:t>
      </w:r>
    </w:p>
    <w:p w14:paraId="7984AD00" w14:textId="1482C575" w:rsidR="007557E3" w:rsidRPr="007557E3" w:rsidRDefault="007557E3" w:rsidP="007557E3">
      <w:pPr>
        <w:rPr>
          <w:sz w:val="24"/>
          <w:szCs w:val="24"/>
        </w:rPr>
      </w:pPr>
      <w:r>
        <w:rPr>
          <w:sz w:val="24"/>
          <w:szCs w:val="24"/>
        </w:rPr>
        <w:t xml:space="preserve">SLIDE 5: </w:t>
      </w:r>
      <w:r w:rsidRPr="007557E3">
        <w:rPr>
          <w:sz w:val="24"/>
          <w:szCs w:val="24"/>
        </w:rPr>
        <w:t xml:space="preserve">The Secretary’s waiver authority includes WIOA Title I, Sections A B and D and WP Sections 8-10 with some exceptions. For </w:t>
      </w:r>
      <w:proofErr w:type="gramStart"/>
      <w:r w:rsidRPr="007557E3">
        <w:rPr>
          <w:sz w:val="24"/>
          <w:szCs w:val="24"/>
        </w:rPr>
        <w:t>example</w:t>
      </w:r>
      <w:proofErr w:type="gramEnd"/>
      <w:r w:rsidRPr="007557E3">
        <w:rPr>
          <w:sz w:val="24"/>
          <w:szCs w:val="24"/>
        </w:rPr>
        <w:t xml:space="preserve"> Section A includes many of WIOA’s governance provisions, While Section B mainly covers required and allowable adult dislocated worker and youth activities. Section E is administration. </w:t>
      </w:r>
      <w:proofErr w:type="gramStart"/>
      <w:r w:rsidRPr="007557E3">
        <w:rPr>
          <w:sz w:val="24"/>
          <w:szCs w:val="24"/>
        </w:rPr>
        <w:t>So</w:t>
      </w:r>
      <w:proofErr w:type="gramEnd"/>
      <w:r w:rsidRPr="007557E3">
        <w:rPr>
          <w:sz w:val="24"/>
          <w:szCs w:val="24"/>
        </w:rPr>
        <w:t xml:space="preserve"> something like Job Corps (Section C) or national programs in Section D would not be waivable under the Secretary’s general waiver authority.</w:t>
      </w:r>
    </w:p>
    <w:p w14:paraId="4AE08FFD" w14:textId="6FD27B43" w:rsidR="007557E3" w:rsidRPr="007557E3" w:rsidRDefault="007557E3" w:rsidP="007557E3">
      <w:pPr>
        <w:rPr>
          <w:sz w:val="24"/>
          <w:szCs w:val="24"/>
        </w:rPr>
      </w:pPr>
      <w:r w:rsidRPr="007557E3">
        <w:rPr>
          <w:sz w:val="24"/>
          <w:szCs w:val="24"/>
        </w:rPr>
        <w:t>The Secretary’s waiver authority does not extend to any of the prohibited item on this list including.</w:t>
      </w:r>
      <w:r w:rsidRPr="007557E3">
        <w:rPr>
          <w:sz w:val="24"/>
          <w:szCs w:val="24"/>
        </w:rPr>
        <w:t xml:space="preserve"> </w:t>
      </w:r>
      <w:r w:rsidRPr="007557E3">
        <w:rPr>
          <w:sz w:val="24"/>
          <w:szCs w:val="24"/>
        </w:rPr>
        <w:t>Despite these prohibitions, the Department occasionally receives requests to:</w:t>
      </w:r>
      <w:r>
        <w:rPr>
          <w:sz w:val="24"/>
          <w:szCs w:val="24"/>
        </w:rPr>
        <w:t xml:space="preserve"> </w:t>
      </w:r>
      <w:r w:rsidRPr="007557E3">
        <w:rPr>
          <w:sz w:val="24"/>
          <w:szCs w:val="24"/>
        </w:rPr>
        <w:t>Change the local allocation formula;</w:t>
      </w:r>
      <w:r>
        <w:rPr>
          <w:sz w:val="24"/>
          <w:szCs w:val="24"/>
        </w:rPr>
        <w:t xml:space="preserve"> </w:t>
      </w:r>
      <w:r w:rsidRPr="007557E3">
        <w:rPr>
          <w:sz w:val="24"/>
          <w:szCs w:val="24"/>
        </w:rPr>
        <w:t>Participant eligibility;</w:t>
      </w:r>
      <w:r>
        <w:rPr>
          <w:sz w:val="24"/>
          <w:szCs w:val="24"/>
        </w:rPr>
        <w:t xml:space="preserve"> </w:t>
      </w:r>
      <w:r w:rsidRPr="007557E3">
        <w:rPr>
          <w:sz w:val="24"/>
          <w:szCs w:val="24"/>
        </w:rPr>
        <w:t xml:space="preserve">Eliminate a One-Stop partner’s infrastructure funding obligation; or even to Eliminate basic purposes of the law such as reporting on the WIOA performance indicators or performing data validation on reports to ETA. </w:t>
      </w:r>
    </w:p>
    <w:p w14:paraId="2400A8AA" w14:textId="77777777" w:rsidR="007557E3" w:rsidRPr="007557E3" w:rsidRDefault="007557E3" w:rsidP="007557E3">
      <w:pPr>
        <w:rPr>
          <w:sz w:val="24"/>
          <w:szCs w:val="24"/>
        </w:rPr>
      </w:pPr>
      <w:r w:rsidRPr="007557E3">
        <w:rPr>
          <w:sz w:val="24"/>
          <w:szCs w:val="24"/>
        </w:rPr>
        <w:t xml:space="preserve">In all cases, the Department was required (maybe say “is required” or just delete this sentence altogether) to deny these requests, while working to work with States through technical assistance. </w:t>
      </w:r>
    </w:p>
    <w:p w14:paraId="2C569737" w14:textId="48534DBC" w:rsidR="007557E3" w:rsidRDefault="007557E3" w:rsidP="007557E3">
      <w:pPr>
        <w:rPr>
          <w:sz w:val="24"/>
          <w:szCs w:val="24"/>
        </w:rPr>
      </w:pPr>
    </w:p>
    <w:p w14:paraId="42606819" w14:textId="72EFB46F" w:rsidR="007557E3" w:rsidRPr="007557E3" w:rsidRDefault="007557E3" w:rsidP="007557E3">
      <w:pPr>
        <w:rPr>
          <w:sz w:val="24"/>
          <w:szCs w:val="24"/>
        </w:rPr>
      </w:pPr>
      <w:r>
        <w:rPr>
          <w:sz w:val="24"/>
          <w:szCs w:val="24"/>
        </w:rPr>
        <w:lastRenderedPageBreak/>
        <w:t xml:space="preserve">SLIDE 6: </w:t>
      </w:r>
      <w:r w:rsidRPr="007557E3">
        <w:rPr>
          <w:sz w:val="24"/>
          <w:szCs w:val="24"/>
        </w:rPr>
        <w:t>States may submit waiver requests as part of the State Plan or as a separate request to modify a State Plan. In either case, the Department has 90 days to issue a decision. In some cases, the Department may require additional information from the State during this period.</w:t>
      </w:r>
    </w:p>
    <w:p w14:paraId="49ED87A5" w14:textId="70E9EC00" w:rsidR="007557E3" w:rsidRPr="007557E3" w:rsidRDefault="007557E3" w:rsidP="007557E3">
      <w:pPr>
        <w:rPr>
          <w:sz w:val="24"/>
          <w:szCs w:val="24"/>
        </w:rPr>
      </w:pPr>
      <w:r w:rsidRPr="007557E3">
        <w:rPr>
          <w:sz w:val="24"/>
          <w:szCs w:val="24"/>
        </w:rPr>
        <w:t xml:space="preserve">WIOA requires that prior to implementation, the Department and the State </w:t>
      </w:r>
      <w:proofErr w:type="gramStart"/>
      <w:r w:rsidRPr="007557E3">
        <w:rPr>
          <w:sz w:val="24"/>
          <w:szCs w:val="24"/>
        </w:rPr>
        <w:t>enter into</w:t>
      </w:r>
      <w:proofErr w:type="gramEnd"/>
      <w:r w:rsidRPr="007557E3">
        <w:rPr>
          <w:sz w:val="24"/>
          <w:szCs w:val="24"/>
        </w:rPr>
        <w:t xml:space="preserve"> a memorandum of understanding to cement that the Department is granting increased flexibility in exchange for specific improvements to performance and/or service delivery. The ETA determination letter stands as the MOU. No further agreement is necessary. The State must monitor and report all waiver outcomes in its WIOA annual report. </w:t>
      </w:r>
    </w:p>
    <w:p w14:paraId="6C26CDB5" w14:textId="3879B39C" w:rsidR="007557E3" w:rsidRDefault="007557E3" w:rsidP="007557E3">
      <w:pPr>
        <w:rPr>
          <w:sz w:val="24"/>
          <w:szCs w:val="24"/>
        </w:rPr>
      </w:pPr>
      <w:r w:rsidRPr="007557E3">
        <w:rPr>
          <w:sz w:val="24"/>
          <w:szCs w:val="24"/>
        </w:rPr>
        <w:t xml:space="preserve">States may submit a paper copy of the </w:t>
      </w:r>
      <w:proofErr w:type="gramStart"/>
      <w:r w:rsidRPr="007557E3">
        <w:rPr>
          <w:sz w:val="24"/>
          <w:szCs w:val="24"/>
        </w:rPr>
        <w:t>waiver, but</w:t>
      </w:r>
      <w:proofErr w:type="gramEnd"/>
      <w:r w:rsidRPr="007557E3">
        <w:rPr>
          <w:sz w:val="24"/>
          <w:szCs w:val="24"/>
        </w:rPr>
        <w:t xml:space="preserve"> are strongly encouraged to submit waiver requests to WIOA.Plan@dol.gov and cc the appropriate ETA regional office contact.</w:t>
      </w:r>
    </w:p>
    <w:p w14:paraId="7BD19A1C" w14:textId="6F38D439" w:rsidR="007557E3" w:rsidRDefault="007557E3" w:rsidP="007557E3">
      <w:pPr>
        <w:rPr>
          <w:sz w:val="24"/>
          <w:szCs w:val="24"/>
        </w:rPr>
      </w:pPr>
      <w:r>
        <w:rPr>
          <w:sz w:val="24"/>
          <w:szCs w:val="24"/>
        </w:rPr>
        <w:t xml:space="preserve">SLIDE 7: </w:t>
      </w:r>
      <w:r w:rsidRPr="007557E3">
        <w:rPr>
          <w:sz w:val="24"/>
          <w:szCs w:val="24"/>
        </w:rPr>
        <w:t>Statute and regulation require states to respond to the following elements for each waiver request. ETA is unable to approve requests that are missing and of the following:</w:t>
      </w:r>
      <w:r>
        <w:rPr>
          <w:sz w:val="24"/>
          <w:szCs w:val="24"/>
        </w:rPr>
        <w:t xml:space="preserve"> </w:t>
      </w:r>
      <w:r w:rsidRPr="007557E3">
        <w:rPr>
          <w:sz w:val="24"/>
          <w:szCs w:val="24"/>
        </w:rPr>
        <w:t>The statutory and/or regulatory requirements the state would like to waive</w:t>
      </w:r>
      <w:r>
        <w:rPr>
          <w:sz w:val="24"/>
          <w:szCs w:val="24"/>
        </w:rPr>
        <w:t xml:space="preserve">, </w:t>
      </w:r>
      <w:r w:rsidRPr="007557E3">
        <w:rPr>
          <w:sz w:val="24"/>
          <w:szCs w:val="24"/>
        </w:rPr>
        <w:t>Actions the state has undertaken to remove state or local statutory or regulatory barriers</w:t>
      </w:r>
      <w:r>
        <w:rPr>
          <w:sz w:val="24"/>
          <w:szCs w:val="24"/>
        </w:rPr>
        <w:t xml:space="preserve">, </w:t>
      </w:r>
      <w:r w:rsidRPr="007557E3">
        <w:rPr>
          <w:sz w:val="24"/>
          <w:szCs w:val="24"/>
        </w:rPr>
        <w:t>State strategic goal(s) outcomes resulting from implementation of the waiver</w:t>
      </w:r>
      <w:r>
        <w:rPr>
          <w:sz w:val="24"/>
          <w:szCs w:val="24"/>
        </w:rPr>
        <w:t xml:space="preserve">, </w:t>
      </w:r>
      <w:r w:rsidRPr="007557E3">
        <w:rPr>
          <w:sz w:val="24"/>
          <w:szCs w:val="24"/>
        </w:rPr>
        <w:t>Alignment with Department policy priorities</w:t>
      </w:r>
      <w:r>
        <w:rPr>
          <w:sz w:val="24"/>
          <w:szCs w:val="24"/>
        </w:rPr>
        <w:t xml:space="preserve">, </w:t>
      </w:r>
      <w:r w:rsidRPr="007557E3">
        <w:rPr>
          <w:sz w:val="24"/>
          <w:szCs w:val="24"/>
        </w:rPr>
        <w:t>Individuals, groups, or populations affected by the waiver</w:t>
      </w:r>
      <w:r>
        <w:rPr>
          <w:sz w:val="24"/>
          <w:szCs w:val="24"/>
        </w:rPr>
        <w:t xml:space="preserve">, </w:t>
      </w:r>
      <w:r w:rsidRPr="007557E3">
        <w:rPr>
          <w:sz w:val="24"/>
          <w:szCs w:val="24"/>
        </w:rPr>
        <w:t>State plans for monitoring waiver implementation, including collection of waiver outcome information</w:t>
      </w:r>
      <w:r>
        <w:rPr>
          <w:sz w:val="24"/>
          <w:szCs w:val="24"/>
        </w:rPr>
        <w:t xml:space="preserve">, and </w:t>
      </w:r>
      <w:r w:rsidRPr="007557E3">
        <w:rPr>
          <w:sz w:val="24"/>
          <w:szCs w:val="24"/>
        </w:rPr>
        <w:t>Assurance of state posting of the request for public comment and notification to affected local workforce development boards</w:t>
      </w:r>
      <w:r>
        <w:rPr>
          <w:sz w:val="24"/>
          <w:szCs w:val="24"/>
        </w:rPr>
        <w:t>.</w:t>
      </w:r>
    </w:p>
    <w:p w14:paraId="5B651D2A" w14:textId="40946286" w:rsidR="007557E3" w:rsidRDefault="007557E3" w:rsidP="007557E3">
      <w:pPr>
        <w:rPr>
          <w:sz w:val="24"/>
          <w:szCs w:val="24"/>
        </w:rPr>
      </w:pPr>
      <w:r>
        <w:rPr>
          <w:sz w:val="24"/>
          <w:szCs w:val="24"/>
        </w:rPr>
        <w:t xml:space="preserve">SLIDE 8: </w:t>
      </w:r>
      <w:r w:rsidRPr="007557E3">
        <w:rPr>
          <w:sz w:val="24"/>
          <w:szCs w:val="24"/>
        </w:rPr>
        <w:t xml:space="preserve">The first required element is the identification of the statutory and/or regulatory provisions the State wishes to waive. This is </w:t>
      </w:r>
      <w:proofErr w:type="gramStart"/>
      <w:r w:rsidRPr="007557E3">
        <w:rPr>
          <w:sz w:val="24"/>
          <w:szCs w:val="24"/>
        </w:rPr>
        <w:t>fairly straightforward</w:t>
      </w:r>
      <w:proofErr w:type="gramEnd"/>
      <w:r w:rsidRPr="007557E3">
        <w:rPr>
          <w:sz w:val="24"/>
          <w:szCs w:val="24"/>
        </w:rPr>
        <w:t>. This requirement helps the Department understand what the State wants to waive and helps quickly determine whether it is within the Secretary’s waiver authority.</w:t>
      </w:r>
    </w:p>
    <w:p w14:paraId="6AF3D058" w14:textId="77777777" w:rsidR="007557E3" w:rsidRPr="007557E3" w:rsidRDefault="007557E3" w:rsidP="007557E3">
      <w:pPr>
        <w:rPr>
          <w:sz w:val="24"/>
          <w:szCs w:val="24"/>
        </w:rPr>
      </w:pPr>
      <w:r>
        <w:rPr>
          <w:sz w:val="24"/>
          <w:szCs w:val="24"/>
        </w:rPr>
        <w:t xml:space="preserve">SLIDE 9: </w:t>
      </w:r>
      <w:r w:rsidRPr="007557E3">
        <w:rPr>
          <w:sz w:val="24"/>
          <w:szCs w:val="24"/>
        </w:rPr>
        <w:t xml:space="preserve">The next required element is a description of the actions the State has undertaken to remove State or local barriers. A review of State and local barriers is helpful for several reasons. </w:t>
      </w:r>
    </w:p>
    <w:p w14:paraId="268CADBE" w14:textId="77777777" w:rsidR="007557E3" w:rsidRPr="007557E3" w:rsidRDefault="007557E3" w:rsidP="007557E3">
      <w:pPr>
        <w:rPr>
          <w:sz w:val="24"/>
          <w:szCs w:val="24"/>
        </w:rPr>
      </w:pPr>
      <w:r w:rsidRPr="007557E3">
        <w:rPr>
          <w:sz w:val="24"/>
          <w:szCs w:val="24"/>
        </w:rPr>
        <w:t xml:space="preserve">In several instances, the Department has received waiver requests that end up being a matter of state law or policy. The Department cannot waive these items. </w:t>
      </w:r>
    </w:p>
    <w:p w14:paraId="7DF2098B" w14:textId="77777777" w:rsidR="007557E3" w:rsidRPr="007557E3" w:rsidRDefault="007557E3" w:rsidP="007557E3">
      <w:pPr>
        <w:rPr>
          <w:sz w:val="24"/>
          <w:szCs w:val="24"/>
        </w:rPr>
      </w:pPr>
      <w:r w:rsidRPr="007557E3">
        <w:rPr>
          <w:sz w:val="24"/>
          <w:szCs w:val="24"/>
        </w:rPr>
        <w:t xml:space="preserve">Further, examining any potential barriers will improve the ease of implementation down the road. </w:t>
      </w:r>
    </w:p>
    <w:p w14:paraId="3EBC14D7" w14:textId="49650A30" w:rsidR="007557E3" w:rsidRDefault="007557E3" w:rsidP="007557E3">
      <w:pPr>
        <w:rPr>
          <w:sz w:val="24"/>
          <w:szCs w:val="24"/>
        </w:rPr>
      </w:pPr>
      <w:r w:rsidRPr="007557E3">
        <w:rPr>
          <w:sz w:val="24"/>
          <w:szCs w:val="24"/>
        </w:rPr>
        <w:t xml:space="preserve">If no barriers exist, the State may indicate this. No barriers </w:t>
      </w:r>
      <w:proofErr w:type="gramStart"/>
      <w:r w:rsidRPr="007557E3">
        <w:rPr>
          <w:sz w:val="24"/>
          <w:szCs w:val="24"/>
        </w:rPr>
        <w:t>is</w:t>
      </w:r>
      <w:proofErr w:type="gramEnd"/>
      <w:r w:rsidRPr="007557E3">
        <w:rPr>
          <w:sz w:val="24"/>
          <w:szCs w:val="24"/>
        </w:rPr>
        <w:t xml:space="preserve"> a perfectly acceptable response to this element of the request.</w:t>
      </w:r>
    </w:p>
    <w:p w14:paraId="7C105AEA" w14:textId="77777777" w:rsidR="007557E3" w:rsidRPr="007557E3" w:rsidRDefault="007557E3" w:rsidP="007557E3">
      <w:pPr>
        <w:rPr>
          <w:sz w:val="24"/>
          <w:szCs w:val="24"/>
        </w:rPr>
      </w:pPr>
      <w:r>
        <w:rPr>
          <w:sz w:val="24"/>
          <w:szCs w:val="24"/>
        </w:rPr>
        <w:t xml:space="preserve">SLIDE 10: </w:t>
      </w:r>
      <w:r w:rsidRPr="007557E3">
        <w:rPr>
          <w:sz w:val="24"/>
          <w:szCs w:val="24"/>
        </w:rPr>
        <w:t>The next required element is a thorough discussion of the goals and projected outcomes. A quality request clearly defines what does the State want to accomplish?</w:t>
      </w:r>
    </w:p>
    <w:p w14:paraId="55A77117" w14:textId="77777777" w:rsidR="007557E3" w:rsidRDefault="007557E3" w:rsidP="007557E3">
      <w:pPr>
        <w:rPr>
          <w:sz w:val="24"/>
          <w:szCs w:val="24"/>
        </w:rPr>
      </w:pPr>
      <w:r w:rsidRPr="007557E3">
        <w:rPr>
          <w:sz w:val="24"/>
          <w:szCs w:val="24"/>
        </w:rPr>
        <w:t>Other key questions to consider include the following:</w:t>
      </w:r>
      <w:r>
        <w:rPr>
          <w:sz w:val="24"/>
          <w:szCs w:val="24"/>
        </w:rPr>
        <w:t xml:space="preserve"> </w:t>
      </w:r>
      <w:r w:rsidRPr="007557E3">
        <w:rPr>
          <w:sz w:val="24"/>
          <w:szCs w:val="24"/>
        </w:rPr>
        <w:t>Are the goals of the waiver aligned with the State Plan?</w:t>
      </w:r>
      <w:r>
        <w:rPr>
          <w:sz w:val="24"/>
          <w:szCs w:val="24"/>
        </w:rPr>
        <w:t xml:space="preserve"> </w:t>
      </w:r>
      <w:r w:rsidRPr="007557E3">
        <w:rPr>
          <w:sz w:val="24"/>
          <w:szCs w:val="24"/>
        </w:rPr>
        <w:t>How will a waiver help the state accomplish its goals?</w:t>
      </w:r>
      <w:r>
        <w:rPr>
          <w:sz w:val="24"/>
          <w:szCs w:val="24"/>
        </w:rPr>
        <w:t xml:space="preserve"> </w:t>
      </w:r>
      <w:r w:rsidRPr="007557E3">
        <w:rPr>
          <w:sz w:val="24"/>
          <w:szCs w:val="24"/>
        </w:rPr>
        <w:t>What does success look like?</w:t>
      </w:r>
      <w:r>
        <w:rPr>
          <w:sz w:val="24"/>
          <w:szCs w:val="24"/>
        </w:rPr>
        <w:t xml:space="preserve"> </w:t>
      </w:r>
      <w:r w:rsidRPr="007557E3">
        <w:rPr>
          <w:sz w:val="24"/>
          <w:szCs w:val="24"/>
        </w:rPr>
        <w:t>Are the projected outcome targets discrete, measurable, and realistic?</w:t>
      </w:r>
    </w:p>
    <w:p w14:paraId="01929C80" w14:textId="232B7801" w:rsidR="007557E3" w:rsidRDefault="007557E3" w:rsidP="007557E3">
      <w:pPr>
        <w:rPr>
          <w:sz w:val="24"/>
          <w:szCs w:val="24"/>
        </w:rPr>
      </w:pPr>
      <w:r w:rsidRPr="007557E3">
        <w:rPr>
          <w:sz w:val="24"/>
          <w:szCs w:val="24"/>
        </w:rPr>
        <w:lastRenderedPageBreak/>
        <w:t>Goals and results have always been a required element of a waiver request, but the Department is emphasizing these requirements to ensure flexibility translates into better outcomes.</w:t>
      </w:r>
    </w:p>
    <w:p w14:paraId="03FADD98" w14:textId="77777777" w:rsidR="007557E3" w:rsidRPr="007557E3" w:rsidRDefault="007557E3" w:rsidP="007557E3">
      <w:pPr>
        <w:rPr>
          <w:sz w:val="24"/>
          <w:szCs w:val="24"/>
        </w:rPr>
      </w:pPr>
      <w:r>
        <w:rPr>
          <w:sz w:val="24"/>
          <w:szCs w:val="24"/>
        </w:rPr>
        <w:t xml:space="preserve">SLIDE 11: </w:t>
      </w:r>
      <w:r w:rsidRPr="007557E3">
        <w:rPr>
          <w:sz w:val="24"/>
          <w:szCs w:val="24"/>
        </w:rPr>
        <w:t xml:space="preserve">Waiver approval is contingent upon the state to project performance targets that are discrete and measurable. As an example, </w:t>
      </w:r>
      <w:proofErr w:type="gramStart"/>
      <w:r w:rsidRPr="007557E3">
        <w:rPr>
          <w:sz w:val="24"/>
          <w:szCs w:val="24"/>
        </w:rPr>
        <w:t>let’s</w:t>
      </w:r>
      <w:proofErr w:type="gramEnd"/>
      <w:r w:rsidRPr="007557E3">
        <w:rPr>
          <w:sz w:val="24"/>
          <w:szCs w:val="24"/>
        </w:rPr>
        <w:t xml:space="preserve"> take a look at a waiver that would allow in-school youth access to individual training accounts, something that is usually only reserved for out of school youth. Here are some examples of Acceptable Projected Outcomes for this waiver:</w:t>
      </w:r>
    </w:p>
    <w:p w14:paraId="5949BBDB" w14:textId="71A5D3C7" w:rsidR="007557E3" w:rsidRPr="007557E3" w:rsidRDefault="007557E3" w:rsidP="007557E3">
      <w:pPr>
        <w:rPr>
          <w:sz w:val="24"/>
          <w:szCs w:val="24"/>
        </w:rPr>
      </w:pPr>
      <w:r w:rsidRPr="007557E3">
        <w:rPr>
          <w:sz w:val="24"/>
          <w:szCs w:val="24"/>
        </w:rPr>
        <w:t xml:space="preserve">75 percent of in-school youth undertaking occupational training will have </w:t>
      </w:r>
      <w:proofErr w:type="gramStart"/>
      <w:r w:rsidRPr="007557E3">
        <w:rPr>
          <w:sz w:val="24"/>
          <w:szCs w:val="24"/>
        </w:rPr>
        <w:t>ITAs; </w:t>
      </w:r>
      <w:r>
        <w:rPr>
          <w:sz w:val="24"/>
          <w:szCs w:val="24"/>
        </w:rPr>
        <w:t xml:space="preserve"> </w:t>
      </w:r>
      <w:r w:rsidRPr="007557E3">
        <w:rPr>
          <w:sz w:val="24"/>
          <w:szCs w:val="24"/>
        </w:rPr>
        <w:t>The</w:t>
      </w:r>
      <w:proofErr w:type="gramEnd"/>
      <w:r w:rsidRPr="007557E3">
        <w:rPr>
          <w:sz w:val="24"/>
          <w:szCs w:val="24"/>
        </w:rPr>
        <w:t xml:space="preserve"> number of training providers serving youth will increase by at least 5 percent in the next 12 months and will be registered on the ETPL</w:t>
      </w:r>
      <w:r>
        <w:rPr>
          <w:sz w:val="24"/>
          <w:szCs w:val="24"/>
        </w:rPr>
        <w:t xml:space="preserve">, </w:t>
      </w:r>
      <w:r w:rsidRPr="007557E3">
        <w:rPr>
          <w:sz w:val="24"/>
          <w:szCs w:val="24"/>
        </w:rPr>
        <w:t xml:space="preserve">50 percent of ISY enrolled in ITAs to earn a credential - an improvement from the 37 percent goal in PY20 for all youth. </w:t>
      </w:r>
    </w:p>
    <w:p w14:paraId="50A09162" w14:textId="01BA63B2" w:rsidR="007557E3" w:rsidRPr="007557E3" w:rsidRDefault="007557E3" w:rsidP="007557E3">
      <w:pPr>
        <w:rPr>
          <w:sz w:val="24"/>
          <w:szCs w:val="24"/>
        </w:rPr>
      </w:pPr>
      <w:r w:rsidRPr="007557E3">
        <w:rPr>
          <w:sz w:val="24"/>
          <w:szCs w:val="24"/>
        </w:rPr>
        <w:t xml:space="preserve">45 percent of ISY to have measurable skill gains; 5.5 points higher than goal of 39.5% goal in PY20 for all </w:t>
      </w:r>
      <w:proofErr w:type="gramStart"/>
      <w:r w:rsidRPr="007557E3">
        <w:rPr>
          <w:sz w:val="24"/>
          <w:szCs w:val="24"/>
        </w:rPr>
        <w:t>youth .</w:t>
      </w:r>
      <w:proofErr w:type="gramEnd"/>
    </w:p>
    <w:p w14:paraId="23A75669" w14:textId="77777777" w:rsidR="007557E3" w:rsidRDefault="007557E3" w:rsidP="007557E3">
      <w:pPr>
        <w:rPr>
          <w:sz w:val="24"/>
          <w:szCs w:val="24"/>
        </w:rPr>
      </w:pPr>
      <w:r w:rsidRPr="007557E3">
        <w:rPr>
          <w:sz w:val="24"/>
          <w:szCs w:val="24"/>
        </w:rPr>
        <w:t>In these examples, the targets act as a roadmap for implementation and measuring stick for evaluating waiver effectiveness. In the past, a general description of increasing youth outcomes may have been acceptable. This is no longer the case.</w:t>
      </w:r>
    </w:p>
    <w:p w14:paraId="21BE38A8" w14:textId="49660B41" w:rsidR="007557E3" w:rsidRDefault="007557E3" w:rsidP="007557E3">
      <w:pPr>
        <w:rPr>
          <w:sz w:val="24"/>
          <w:szCs w:val="24"/>
        </w:rPr>
      </w:pPr>
      <w:r>
        <w:rPr>
          <w:sz w:val="24"/>
          <w:szCs w:val="24"/>
        </w:rPr>
        <w:t xml:space="preserve">SLIDE 12: </w:t>
      </w:r>
      <w:r w:rsidRPr="007557E3">
        <w:rPr>
          <w:sz w:val="24"/>
          <w:szCs w:val="24"/>
        </w:rPr>
        <w:t>The next required element of a waiver request is an examination of how the waiver furthers the Department’s priorities. While priorities change over time, some core elements of the Department’s mission, such as improving career and job results or supporting employer engagement are unlikely to change.</w:t>
      </w:r>
    </w:p>
    <w:p w14:paraId="63D96C85" w14:textId="77777777" w:rsidR="007557E3" w:rsidRPr="007557E3" w:rsidRDefault="007557E3" w:rsidP="007557E3">
      <w:pPr>
        <w:rPr>
          <w:sz w:val="24"/>
          <w:szCs w:val="24"/>
        </w:rPr>
      </w:pPr>
      <w:r>
        <w:rPr>
          <w:sz w:val="24"/>
          <w:szCs w:val="24"/>
        </w:rPr>
        <w:t xml:space="preserve">SLIDE 13: </w:t>
      </w:r>
      <w:r w:rsidRPr="007557E3">
        <w:rPr>
          <w:sz w:val="24"/>
          <w:szCs w:val="24"/>
        </w:rPr>
        <w:t xml:space="preserve">The next required element of a waiver request is an examination of entities that the waiver would benefit as well as populations that may not benefit. Waiver flexibility is often about tradeoffs. </w:t>
      </w:r>
    </w:p>
    <w:p w14:paraId="2E9321D7" w14:textId="2B44E385" w:rsidR="007557E3" w:rsidRDefault="007557E3" w:rsidP="007557E3">
      <w:pPr>
        <w:rPr>
          <w:sz w:val="24"/>
          <w:szCs w:val="24"/>
        </w:rPr>
      </w:pPr>
      <w:r w:rsidRPr="007557E3">
        <w:rPr>
          <w:sz w:val="24"/>
          <w:szCs w:val="24"/>
        </w:rPr>
        <w:t>For example, a waiver to reduce the 75 percent out-of-school youth expenditure rate to 50 percent has clear benefits to in-school youth, but a successful request considers all factors including: How will the waiver improve outcomes for in-school youth?</w:t>
      </w:r>
      <w:r w:rsidR="00DB1150">
        <w:rPr>
          <w:sz w:val="24"/>
          <w:szCs w:val="24"/>
        </w:rPr>
        <w:t xml:space="preserve"> </w:t>
      </w:r>
      <w:r w:rsidRPr="007557E3">
        <w:rPr>
          <w:sz w:val="24"/>
          <w:szCs w:val="24"/>
        </w:rPr>
        <w:t>How will the focus of funds and services to in-school youth impact service delivery for out-of-school youth?</w:t>
      </w:r>
      <w:r w:rsidR="00DB1150">
        <w:rPr>
          <w:sz w:val="24"/>
          <w:szCs w:val="24"/>
        </w:rPr>
        <w:t xml:space="preserve"> </w:t>
      </w:r>
      <w:r w:rsidRPr="007557E3">
        <w:rPr>
          <w:sz w:val="24"/>
          <w:szCs w:val="24"/>
        </w:rPr>
        <w:t>What steps is the state taking to mitigate any negative impacts to out-of-school youth?</w:t>
      </w:r>
      <w:r w:rsidR="00DB1150">
        <w:rPr>
          <w:sz w:val="24"/>
          <w:szCs w:val="24"/>
        </w:rPr>
        <w:t xml:space="preserve"> </w:t>
      </w:r>
      <w:r w:rsidRPr="007557E3">
        <w:rPr>
          <w:sz w:val="24"/>
          <w:szCs w:val="24"/>
        </w:rPr>
        <w:t>How is the state ensuring continuity and quality service delivery to all WIOA-eligible youth in the state?</w:t>
      </w:r>
    </w:p>
    <w:p w14:paraId="515E774D" w14:textId="77777777" w:rsidR="00DB1150" w:rsidRPr="00DB1150" w:rsidRDefault="007557E3" w:rsidP="00DB1150">
      <w:pPr>
        <w:rPr>
          <w:sz w:val="24"/>
          <w:szCs w:val="24"/>
        </w:rPr>
      </w:pPr>
      <w:r>
        <w:rPr>
          <w:sz w:val="24"/>
          <w:szCs w:val="24"/>
        </w:rPr>
        <w:t>SLIDE 14:</w:t>
      </w:r>
      <w:r w:rsidR="00DB1150">
        <w:rPr>
          <w:sz w:val="24"/>
          <w:szCs w:val="24"/>
        </w:rPr>
        <w:t xml:space="preserve"> </w:t>
      </w:r>
      <w:r w:rsidR="00DB1150" w:rsidRPr="00DB1150">
        <w:rPr>
          <w:sz w:val="24"/>
          <w:szCs w:val="24"/>
        </w:rPr>
        <w:t xml:space="preserve">Waiver monitoring is another essential element. The State’s request must include a detailed plan on how it intends to monitor implementation and evaluate results. </w:t>
      </w:r>
    </w:p>
    <w:p w14:paraId="74BE76DE" w14:textId="5C6B76E1" w:rsidR="007557E3" w:rsidRDefault="00DB1150" w:rsidP="00DB1150">
      <w:pPr>
        <w:rPr>
          <w:sz w:val="24"/>
          <w:szCs w:val="24"/>
        </w:rPr>
      </w:pPr>
      <w:r w:rsidRPr="00DB1150">
        <w:rPr>
          <w:sz w:val="24"/>
          <w:szCs w:val="24"/>
        </w:rPr>
        <w:t>Some effective strategies include</w:t>
      </w:r>
      <w:r>
        <w:rPr>
          <w:sz w:val="24"/>
          <w:szCs w:val="24"/>
        </w:rPr>
        <w:t xml:space="preserve">: </w:t>
      </w:r>
      <w:r w:rsidRPr="00DB1150">
        <w:rPr>
          <w:sz w:val="24"/>
          <w:szCs w:val="24"/>
        </w:rPr>
        <w:t>Collect and report information about waiver outcomes in the State’s WIOA Annual Report. (This is required for all approved waivers)</w:t>
      </w:r>
      <w:r>
        <w:rPr>
          <w:sz w:val="24"/>
          <w:szCs w:val="24"/>
        </w:rPr>
        <w:t xml:space="preserve">, </w:t>
      </w:r>
      <w:r w:rsidRPr="00DB1150">
        <w:rPr>
          <w:sz w:val="24"/>
          <w:szCs w:val="24"/>
        </w:rPr>
        <w:t>Create special participant codes to track participants impacted by a given waiver</w:t>
      </w:r>
      <w:r>
        <w:rPr>
          <w:sz w:val="24"/>
          <w:szCs w:val="24"/>
        </w:rPr>
        <w:t xml:space="preserve">, and </w:t>
      </w:r>
      <w:r w:rsidRPr="00DB1150">
        <w:rPr>
          <w:sz w:val="24"/>
          <w:szCs w:val="24"/>
        </w:rPr>
        <w:t>Develop multi-year evaluations of the impact of the waiver.</w:t>
      </w:r>
    </w:p>
    <w:p w14:paraId="74E880F0" w14:textId="77777777" w:rsidR="00DB1150" w:rsidRPr="00DB1150" w:rsidRDefault="007557E3" w:rsidP="00DB1150">
      <w:pPr>
        <w:rPr>
          <w:sz w:val="24"/>
          <w:szCs w:val="24"/>
        </w:rPr>
      </w:pPr>
      <w:r>
        <w:rPr>
          <w:sz w:val="24"/>
          <w:szCs w:val="24"/>
        </w:rPr>
        <w:lastRenderedPageBreak/>
        <w:t>SLIDE 15:</w:t>
      </w:r>
      <w:r w:rsidR="00DB1150">
        <w:rPr>
          <w:sz w:val="24"/>
          <w:szCs w:val="24"/>
        </w:rPr>
        <w:t xml:space="preserve"> </w:t>
      </w:r>
      <w:r w:rsidR="00DB1150" w:rsidRPr="00DB1150">
        <w:rPr>
          <w:sz w:val="24"/>
          <w:szCs w:val="24"/>
        </w:rPr>
        <w:t>Public comment provides opportunity for community engagement and often strengthens waiver requests. Prior to submitting a request, states must educate the public and all affected local boards about the proposed waiver.</w:t>
      </w:r>
    </w:p>
    <w:p w14:paraId="55202D3F" w14:textId="523B8739" w:rsidR="007557E3" w:rsidRDefault="00DB1150" w:rsidP="00DB1150">
      <w:pPr>
        <w:rPr>
          <w:sz w:val="24"/>
          <w:szCs w:val="24"/>
        </w:rPr>
      </w:pPr>
      <w:r w:rsidRPr="00DB1150">
        <w:rPr>
          <w:sz w:val="24"/>
          <w:szCs w:val="24"/>
        </w:rPr>
        <w:t xml:space="preserve">No prescribed minimum </w:t>
      </w:r>
      <w:proofErr w:type="gramStart"/>
      <w:r w:rsidRPr="00DB1150">
        <w:rPr>
          <w:sz w:val="24"/>
          <w:szCs w:val="24"/>
        </w:rPr>
        <w:t>time-frame</w:t>
      </w:r>
      <w:proofErr w:type="gramEnd"/>
      <w:r w:rsidRPr="00DB1150">
        <w:rPr>
          <w:sz w:val="24"/>
          <w:szCs w:val="24"/>
        </w:rPr>
        <w:t xml:space="preserve"> for comment, but it must be reasonable.</w:t>
      </w:r>
      <w:r>
        <w:rPr>
          <w:sz w:val="24"/>
          <w:szCs w:val="24"/>
        </w:rPr>
        <w:t xml:space="preserve"> </w:t>
      </w:r>
      <w:r w:rsidRPr="00DB1150">
        <w:rPr>
          <w:sz w:val="24"/>
          <w:szCs w:val="24"/>
        </w:rPr>
        <w:t xml:space="preserve">Posting on an accessible State agency or board website is most common approach to </w:t>
      </w:r>
      <w:proofErr w:type="gramStart"/>
      <w:r w:rsidRPr="00DB1150">
        <w:rPr>
          <w:sz w:val="24"/>
          <w:szCs w:val="24"/>
        </w:rPr>
        <w:t>comment</w:t>
      </w:r>
      <w:proofErr w:type="gramEnd"/>
    </w:p>
    <w:p w14:paraId="1601BE8B" w14:textId="6FF737AF" w:rsidR="00DB1150" w:rsidRPr="00DB1150" w:rsidRDefault="007557E3" w:rsidP="00DB1150">
      <w:pPr>
        <w:rPr>
          <w:sz w:val="24"/>
          <w:szCs w:val="24"/>
        </w:rPr>
      </w:pPr>
      <w:r>
        <w:rPr>
          <w:sz w:val="24"/>
          <w:szCs w:val="24"/>
        </w:rPr>
        <w:t>SLIDE 16:</w:t>
      </w:r>
      <w:r w:rsidR="00DB1150">
        <w:rPr>
          <w:sz w:val="24"/>
          <w:szCs w:val="24"/>
        </w:rPr>
        <w:t xml:space="preserve"> </w:t>
      </w:r>
      <w:r w:rsidR="00DB1150" w:rsidRPr="00DB1150">
        <w:rPr>
          <w:sz w:val="24"/>
          <w:szCs w:val="24"/>
        </w:rPr>
        <w:t xml:space="preserve">An approved waiver is considered a modification of the WIOA State Plan. As such, waivers should reflect the strategies and goals in the plan. The best waiver requests begin with a clear goal in mind and build on that goal.  A summary or white paper can help states connect the dots between the goal and the waiver. </w:t>
      </w:r>
    </w:p>
    <w:p w14:paraId="46D9EF6B" w14:textId="7A2038D2" w:rsidR="00DB1150" w:rsidRPr="00DB1150" w:rsidRDefault="00DB1150" w:rsidP="00DB1150">
      <w:pPr>
        <w:rPr>
          <w:sz w:val="24"/>
          <w:szCs w:val="24"/>
        </w:rPr>
      </w:pPr>
      <w:r w:rsidRPr="00DB1150">
        <w:rPr>
          <w:sz w:val="24"/>
          <w:szCs w:val="24"/>
        </w:rPr>
        <w:t>Stakeholder engagement is essential for a successful waiver request. The Department strongly encourages states to reach out to state and local partners to determine needs and estimate the impacts of a potential waiver and to connect with your state’s Federal Project Officer at the ETA regional office to discuss matters such as “</w:t>
      </w:r>
      <w:proofErr w:type="spellStart"/>
      <w:r w:rsidRPr="00DB1150">
        <w:rPr>
          <w:sz w:val="24"/>
          <w:szCs w:val="24"/>
        </w:rPr>
        <w:t>waivability</w:t>
      </w:r>
      <w:proofErr w:type="spellEnd"/>
      <w:r w:rsidRPr="00DB1150">
        <w:rPr>
          <w:sz w:val="24"/>
          <w:szCs w:val="24"/>
        </w:rPr>
        <w:t xml:space="preserve">”, goals, and acceptable projected outcome requirements. Sending a draft request to your FPO increases the likelihood of approval and reduces the time for review and potentially the need for ETA to go back to the state for additional information. </w:t>
      </w:r>
    </w:p>
    <w:p w14:paraId="39D3B99D" w14:textId="31C2A96C" w:rsidR="007557E3" w:rsidRDefault="00DB1150" w:rsidP="00DB1150">
      <w:pPr>
        <w:rPr>
          <w:sz w:val="24"/>
          <w:szCs w:val="24"/>
        </w:rPr>
      </w:pPr>
      <w:r w:rsidRPr="00DB1150">
        <w:rPr>
          <w:sz w:val="24"/>
          <w:szCs w:val="24"/>
        </w:rPr>
        <w:t>ETA is unable to approve waivers that do not respond to ALL the required elements of a waiver request, which we will discuss shortly.</w:t>
      </w:r>
    </w:p>
    <w:p w14:paraId="0E824015" w14:textId="167ED937" w:rsidR="007557E3" w:rsidRDefault="007557E3" w:rsidP="007557E3">
      <w:pPr>
        <w:rPr>
          <w:sz w:val="24"/>
          <w:szCs w:val="24"/>
        </w:rPr>
      </w:pPr>
      <w:r>
        <w:rPr>
          <w:sz w:val="24"/>
          <w:szCs w:val="24"/>
        </w:rPr>
        <w:t>SLIDE 17:</w:t>
      </w:r>
      <w:r w:rsidR="00DB1150">
        <w:rPr>
          <w:sz w:val="24"/>
          <w:szCs w:val="24"/>
        </w:rPr>
        <w:t xml:space="preserve"> </w:t>
      </w:r>
      <w:r w:rsidR="00DB1150" w:rsidRPr="00DB1150">
        <w:rPr>
          <w:sz w:val="24"/>
          <w:szCs w:val="24"/>
        </w:rPr>
        <w:t xml:space="preserve">From the time of submission, the Department has 90 days to provide a determination of the State’s request.  On our end, ETA consults with all relevant program offices, such as the Division of Youth Services or the Solicitor's Office before </w:t>
      </w:r>
      <w:proofErr w:type="gramStart"/>
      <w:r w:rsidR="00DB1150" w:rsidRPr="00DB1150">
        <w:rPr>
          <w:sz w:val="24"/>
          <w:szCs w:val="24"/>
        </w:rPr>
        <w:t>making a determination</w:t>
      </w:r>
      <w:proofErr w:type="gramEnd"/>
      <w:r w:rsidR="00DB1150" w:rsidRPr="00DB1150">
        <w:rPr>
          <w:sz w:val="24"/>
          <w:szCs w:val="24"/>
        </w:rPr>
        <w:t>. If a state does not respond to all the required elements, ETA may have to request additional information, especially around performance targets and outcomes. Ensuring a quality requests speeds the review process and eventually waiver implementation.</w:t>
      </w:r>
    </w:p>
    <w:p w14:paraId="5A0D370E" w14:textId="281039CA" w:rsidR="00DB1150" w:rsidRPr="00DB1150" w:rsidRDefault="007557E3" w:rsidP="00DB1150">
      <w:pPr>
        <w:rPr>
          <w:sz w:val="24"/>
          <w:szCs w:val="24"/>
        </w:rPr>
      </w:pPr>
      <w:r>
        <w:rPr>
          <w:sz w:val="24"/>
          <w:szCs w:val="24"/>
        </w:rPr>
        <w:t>SLIDE 18:</w:t>
      </w:r>
      <w:r w:rsidR="00DB1150">
        <w:rPr>
          <w:sz w:val="24"/>
          <w:szCs w:val="24"/>
        </w:rPr>
        <w:t xml:space="preserve"> </w:t>
      </w:r>
      <w:r w:rsidR="00DB1150" w:rsidRPr="00DB1150">
        <w:rPr>
          <w:sz w:val="24"/>
          <w:szCs w:val="24"/>
        </w:rPr>
        <w:t xml:space="preserve">At a minimum all states must document the waiver outcomes that they projected in an initial waiver request in the States WIOA Annual Report. ETA uses this information to assess whether waivers are working in a state and may be inclined not to approve waivers where the state was unable to supply valid data. </w:t>
      </w:r>
    </w:p>
    <w:p w14:paraId="02695BC7" w14:textId="4805EDA0" w:rsidR="007557E3" w:rsidRDefault="00DB1150" w:rsidP="00DB1150">
      <w:pPr>
        <w:rPr>
          <w:sz w:val="24"/>
          <w:szCs w:val="24"/>
        </w:rPr>
      </w:pPr>
      <w:r w:rsidRPr="00DB1150">
        <w:rPr>
          <w:sz w:val="24"/>
          <w:szCs w:val="24"/>
        </w:rPr>
        <w:t>ETA is currently reexamining how it monitors waivers at the Federal level and is investing how to integrate waiver monitoring into standard on-site or desk reviews.</w:t>
      </w:r>
    </w:p>
    <w:p w14:paraId="11CAB044" w14:textId="277F0F70" w:rsidR="007557E3" w:rsidRDefault="007557E3" w:rsidP="007557E3">
      <w:pPr>
        <w:rPr>
          <w:sz w:val="24"/>
          <w:szCs w:val="24"/>
        </w:rPr>
      </w:pPr>
      <w:r>
        <w:rPr>
          <w:sz w:val="24"/>
          <w:szCs w:val="24"/>
        </w:rPr>
        <w:t>SLIDE 19:</w:t>
      </w:r>
      <w:r w:rsidR="00DB1150">
        <w:rPr>
          <w:sz w:val="24"/>
          <w:szCs w:val="24"/>
        </w:rPr>
        <w:t xml:space="preserve"> </w:t>
      </w:r>
      <w:r w:rsidR="00DB1150" w:rsidRPr="00DB1150">
        <w:rPr>
          <w:sz w:val="24"/>
          <w:szCs w:val="24"/>
        </w:rPr>
        <w:t xml:space="preserve">As mentioned, states need to first and foremost provide ETA with results of approved waivers. Before requesting a renewal, the State should consider waiver effectiveness. The State should also consider whether circumstances have changed on the ground in terms of state needs. The State should also consider special considerations. One example is ETA’ most popular waiver, which allows states to waive the collection and reporting of all student ETP data, and instead report on only WIOA-funded participants. This waiver was considered mainly to give states enough time to build robust data systems and </w:t>
      </w:r>
      <w:proofErr w:type="gramStart"/>
      <w:r w:rsidR="00DB1150" w:rsidRPr="00DB1150">
        <w:rPr>
          <w:sz w:val="24"/>
          <w:szCs w:val="24"/>
        </w:rPr>
        <w:t>enter into</w:t>
      </w:r>
      <w:proofErr w:type="gramEnd"/>
      <w:r w:rsidR="00DB1150" w:rsidRPr="00DB1150">
        <w:rPr>
          <w:sz w:val="24"/>
          <w:szCs w:val="24"/>
        </w:rPr>
        <w:t xml:space="preserve"> data sharing agreements. As we </w:t>
      </w:r>
      <w:r w:rsidR="00DB1150" w:rsidRPr="00DB1150">
        <w:rPr>
          <w:sz w:val="24"/>
          <w:szCs w:val="24"/>
        </w:rPr>
        <w:lastRenderedPageBreak/>
        <w:t>move into a more mature age of WIOA implementation, the Department has determined that this waiver will sunset on June 30, 2021, after which no renewals or new approvals will be granted. While most waivers are approved for the life of an active plan, others such as Dislocated Worker Grant-related waivers are tied to a single disaster and grant. When the grant expires, the State may no longer make use of the waiver.</w:t>
      </w:r>
    </w:p>
    <w:p w14:paraId="5667EAD1" w14:textId="3BD9D199" w:rsidR="007557E3" w:rsidRDefault="007557E3" w:rsidP="007557E3">
      <w:pPr>
        <w:rPr>
          <w:sz w:val="24"/>
          <w:szCs w:val="24"/>
        </w:rPr>
      </w:pPr>
      <w:r>
        <w:rPr>
          <w:sz w:val="24"/>
          <w:szCs w:val="24"/>
        </w:rPr>
        <w:t>SLIDE 20:</w:t>
      </w:r>
      <w:r w:rsidR="00DB1150">
        <w:rPr>
          <w:sz w:val="24"/>
          <w:szCs w:val="24"/>
        </w:rPr>
        <w:t xml:space="preserve"> </w:t>
      </w:r>
      <w:r w:rsidR="00DB1150" w:rsidRPr="00DB1150">
        <w:rPr>
          <w:sz w:val="24"/>
          <w:szCs w:val="24"/>
        </w:rPr>
        <w:t xml:space="preserve">As mentioned, states need to first and foremost provide ETA with results of approved waivers. Before requesting a renewal, the State should consider waiver effectiveness. The State should also consider whether circumstances have changed on the ground in terms of state needs. The State should also consider special considerations. One example is ETA’ most popular waiver, which allows states to waive the collection and reporting of all student ETP data, and instead report on only WIOA-funded participants. This waiver was considered mainly to give states enough time to build robust data systems and </w:t>
      </w:r>
      <w:proofErr w:type="gramStart"/>
      <w:r w:rsidR="00DB1150" w:rsidRPr="00DB1150">
        <w:rPr>
          <w:sz w:val="24"/>
          <w:szCs w:val="24"/>
        </w:rPr>
        <w:t>enter into</w:t>
      </w:r>
      <w:proofErr w:type="gramEnd"/>
      <w:r w:rsidR="00DB1150" w:rsidRPr="00DB1150">
        <w:rPr>
          <w:sz w:val="24"/>
          <w:szCs w:val="24"/>
        </w:rPr>
        <w:t xml:space="preserve"> data sharing agreements. As we move into a more mature age of WIOA implementation, the Department has determined that this waiver will sunset on June 30, 2021, after which no renewals or new approvals will be granted. While most waivers are approved for the life of an active plan, others such as Dislocated Worker Grant-related waivers are tied to a single disaster and grant. When the grant expires, the State may no longer make use of the waiver.</w:t>
      </w:r>
    </w:p>
    <w:p w14:paraId="2E4A9DF2" w14:textId="0C60F9C4" w:rsidR="00DB1150" w:rsidRPr="007557E3" w:rsidRDefault="00DB1150" w:rsidP="007557E3">
      <w:pPr>
        <w:rPr>
          <w:sz w:val="24"/>
          <w:szCs w:val="24"/>
        </w:rPr>
      </w:pPr>
      <w:r>
        <w:rPr>
          <w:sz w:val="24"/>
          <w:szCs w:val="24"/>
        </w:rPr>
        <w:t xml:space="preserve">SLIDE 21: </w:t>
      </w:r>
      <w:r w:rsidRPr="00DB1150">
        <w:rPr>
          <w:sz w:val="24"/>
          <w:szCs w:val="24"/>
        </w:rPr>
        <w:t>Thank you again for your time. And as a reminder, please feel free to reach out to the ETA regional offices for any questions on waivers or at any stage of the request development process.</w:t>
      </w:r>
    </w:p>
    <w:sectPr w:rsidR="00DB1150" w:rsidRPr="007557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78AFE6" w14:textId="77777777" w:rsidR="00DB1150" w:rsidRDefault="00DB1150" w:rsidP="00DB1150">
      <w:pPr>
        <w:spacing w:after="0" w:line="240" w:lineRule="auto"/>
      </w:pPr>
      <w:r>
        <w:separator/>
      </w:r>
    </w:p>
  </w:endnote>
  <w:endnote w:type="continuationSeparator" w:id="0">
    <w:p w14:paraId="6779343E" w14:textId="77777777" w:rsidR="00DB1150" w:rsidRDefault="00DB1150" w:rsidP="00DB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4A0D4" w14:textId="77777777" w:rsidR="00DB1150" w:rsidRDefault="00DB1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9658997"/>
      <w:docPartObj>
        <w:docPartGallery w:val="Page Numbers (Bottom of Page)"/>
        <w:docPartUnique/>
      </w:docPartObj>
    </w:sdtPr>
    <w:sdtEndPr>
      <w:rPr>
        <w:noProof/>
      </w:rPr>
    </w:sdtEndPr>
    <w:sdtContent>
      <w:p w14:paraId="0A55E705" w14:textId="4F8E9A7A" w:rsidR="00DB1150" w:rsidRDefault="00DB11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2F0AB5" w14:textId="77777777" w:rsidR="00DB1150" w:rsidRDefault="00DB11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692AD" w14:textId="77777777" w:rsidR="00DB1150" w:rsidRDefault="00DB1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66F61" w14:textId="77777777" w:rsidR="00DB1150" w:rsidRDefault="00DB1150" w:rsidP="00DB1150">
      <w:pPr>
        <w:spacing w:after="0" w:line="240" w:lineRule="auto"/>
      </w:pPr>
      <w:r>
        <w:separator/>
      </w:r>
    </w:p>
  </w:footnote>
  <w:footnote w:type="continuationSeparator" w:id="0">
    <w:p w14:paraId="7CD55A86" w14:textId="77777777" w:rsidR="00DB1150" w:rsidRDefault="00DB1150" w:rsidP="00DB1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0D61D" w14:textId="77777777" w:rsidR="00DB1150" w:rsidRDefault="00DB11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36DEA" w14:textId="77777777" w:rsidR="00DB1150" w:rsidRDefault="00DB11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90C1E" w14:textId="77777777" w:rsidR="00DB1150" w:rsidRDefault="00DB1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E3"/>
    <w:rsid w:val="007557E3"/>
    <w:rsid w:val="009A0A23"/>
    <w:rsid w:val="00CC3610"/>
    <w:rsid w:val="00DB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318E8"/>
  <w15:chartTrackingRefBased/>
  <w15:docId w15:val="{54F26EAB-8DFF-46DB-81AA-DED7F050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150"/>
  </w:style>
  <w:style w:type="paragraph" w:styleId="Footer">
    <w:name w:val="footer"/>
    <w:basedOn w:val="Normal"/>
    <w:link w:val="FooterChar"/>
    <w:uiPriority w:val="99"/>
    <w:unhideWhenUsed/>
    <w:rsid w:val="00DB1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2020</Words>
  <Characters>11519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McCall</dc:creator>
  <cp:keywords/>
  <dc:description/>
  <cp:lastModifiedBy>Grace McCall</cp:lastModifiedBy>
  <cp:revision>1</cp:revision>
  <dcterms:created xsi:type="dcterms:W3CDTF">2021-03-09T18:03:00Z</dcterms:created>
  <dcterms:modified xsi:type="dcterms:W3CDTF">2021-03-09T18:18:00Z</dcterms:modified>
</cp:coreProperties>
</file>