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9BCAD" w14:textId="28C3374F" w:rsidR="002E3B59" w:rsidRDefault="002E3B59" w:rsidP="006F34E3">
      <w:pPr>
        <w:spacing w:line="360" w:lineRule="auto"/>
        <w:rPr>
          <w:rFonts w:cstheme="minorHAnsi"/>
        </w:rPr>
      </w:pPr>
      <w:r>
        <w:rPr>
          <w:rFonts w:cstheme="minorHAnsi"/>
        </w:rPr>
        <w:t xml:space="preserve">Transcript: </w:t>
      </w:r>
      <w:r w:rsidRPr="002E3B59">
        <w:rPr>
          <w:rFonts w:cstheme="minorHAnsi"/>
          <w:b/>
          <w:bCs/>
        </w:rPr>
        <w:t>Local Workforce Development Board Roles and Responsibilities</w:t>
      </w:r>
      <w:r>
        <w:rPr>
          <w:rFonts w:cstheme="minorHAnsi"/>
        </w:rPr>
        <w:t xml:space="preserve"> </w:t>
      </w:r>
    </w:p>
    <w:p w14:paraId="6E1C0061" w14:textId="23971DAA" w:rsidR="006F34E3" w:rsidRPr="002E3B59" w:rsidRDefault="006F34E3" w:rsidP="006F34E3">
      <w:pPr>
        <w:spacing w:line="360" w:lineRule="auto"/>
        <w:rPr>
          <w:rFonts w:cstheme="minorHAnsi"/>
        </w:rPr>
      </w:pPr>
      <w:r w:rsidRPr="002E3B59">
        <w:rPr>
          <w:rFonts w:cstheme="minorHAnsi"/>
        </w:rPr>
        <w:t>Slide 1</w:t>
      </w:r>
    </w:p>
    <w:p w14:paraId="3EDEDAE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Welcome to the module, Local Workforce Development Board Roles and Responsibilities. This module is part of the WIOA Governance training series and will cover the key roles and responsibilities of the local workforce development board.</w:t>
      </w:r>
    </w:p>
    <w:p w14:paraId="0680FA4F" w14:textId="77777777" w:rsidR="006F34E3" w:rsidRPr="002E3B59" w:rsidRDefault="006F34E3" w:rsidP="006F34E3">
      <w:pPr>
        <w:autoSpaceDE w:val="0"/>
        <w:autoSpaceDN w:val="0"/>
        <w:adjustRightInd w:val="0"/>
        <w:spacing w:after="0" w:line="240" w:lineRule="auto"/>
        <w:rPr>
          <w:rFonts w:cstheme="minorHAnsi"/>
        </w:rPr>
      </w:pPr>
    </w:p>
    <w:p w14:paraId="6DC8E4FE" w14:textId="1D0F5E20" w:rsidR="006F34E3" w:rsidRPr="002E3B59" w:rsidRDefault="006F34E3" w:rsidP="006F34E3">
      <w:pPr>
        <w:spacing w:line="360" w:lineRule="auto"/>
        <w:rPr>
          <w:rFonts w:cstheme="minorHAnsi"/>
        </w:rPr>
      </w:pPr>
    </w:p>
    <w:p w14:paraId="525455D3" w14:textId="0AE4955A" w:rsidR="006F34E3" w:rsidRPr="002E3B59" w:rsidRDefault="006F34E3" w:rsidP="006F34E3">
      <w:pPr>
        <w:rPr>
          <w:rFonts w:cstheme="minorHAnsi"/>
        </w:rPr>
      </w:pPr>
      <w:r w:rsidRPr="002E3B59">
        <w:rPr>
          <w:rFonts w:cstheme="minorHAnsi"/>
        </w:rPr>
        <w:t>Slide 2</w:t>
      </w:r>
    </w:p>
    <w:p w14:paraId="74430EDB"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This training is part of a series of modules related to the governance structure of the public workforce system. As we move through this series, we will be touching on the various entities that make up the public workforce system as well as their roles and responsibilities.</w:t>
      </w:r>
    </w:p>
    <w:p w14:paraId="4B9DE716" w14:textId="77777777" w:rsidR="006F34E3" w:rsidRPr="002E3B59" w:rsidRDefault="006F34E3" w:rsidP="006F34E3">
      <w:pPr>
        <w:autoSpaceDE w:val="0"/>
        <w:autoSpaceDN w:val="0"/>
        <w:adjustRightInd w:val="0"/>
        <w:spacing w:after="0" w:line="240" w:lineRule="auto"/>
        <w:rPr>
          <w:rFonts w:cstheme="minorHAnsi"/>
          <w:kern w:val="24"/>
        </w:rPr>
      </w:pPr>
    </w:p>
    <w:p w14:paraId="03B716D4" w14:textId="77777777" w:rsidR="006F34E3" w:rsidRPr="002E3B59" w:rsidRDefault="006F34E3" w:rsidP="006F34E3">
      <w:pPr>
        <w:autoSpaceDE w:val="0"/>
        <w:autoSpaceDN w:val="0"/>
        <w:adjustRightInd w:val="0"/>
        <w:spacing w:after="0" w:line="240" w:lineRule="auto"/>
        <w:rPr>
          <w:rFonts w:cstheme="minorHAnsi"/>
        </w:rPr>
      </w:pPr>
    </w:p>
    <w:p w14:paraId="17419BBA" w14:textId="21F382B5" w:rsidR="006F34E3" w:rsidRPr="002E3B59" w:rsidRDefault="006F34E3" w:rsidP="006F34E3">
      <w:pPr>
        <w:spacing w:line="360" w:lineRule="auto"/>
        <w:rPr>
          <w:rFonts w:cstheme="minorHAnsi"/>
        </w:rPr>
      </w:pPr>
    </w:p>
    <w:p w14:paraId="5FF20D1C" w14:textId="1C821A85" w:rsidR="006F34E3" w:rsidRPr="002E3B59" w:rsidRDefault="006F34E3" w:rsidP="006F34E3">
      <w:pPr>
        <w:rPr>
          <w:rFonts w:cstheme="minorHAnsi"/>
        </w:rPr>
      </w:pPr>
      <w:r w:rsidRPr="002E3B59">
        <w:rPr>
          <w:rFonts w:cstheme="minorHAnsi"/>
        </w:rPr>
        <w:t>Slide 3</w:t>
      </w:r>
    </w:p>
    <w:p w14:paraId="3486FB5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objectives for this training are to explore the Workforce Innovation and Opportunity Act’s vision for local workforce development boards, and identify the roles and responsibilities laid out in the Act. This training will also examine how the local board interacts with other stakeholders in the public workforce system.</w:t>
      </w:r>
    </w:p>
    <w:p w14:paraId="39644C7C" w14:textId="77777777" w:rsidR="006F34E3" w:rsidRPr="002E3B59" w:rsidRDefault="006F34E3" w:rsidP="006F34E3">
      <w:pPr>
        <w:autoSpaceDE w:val="0"/>
        <w:autoSpaceDN w:val="0"/>
        <w:adjustRightInd w:val="0"/>
        <w:spacing w:after="0" w:line="240" w:lineRule="auto"/>
        <w:rPr>
          <w:rFonts w:cstheme="minorHAnsi"/>
          <w:kern w:val="24"/>
        </w:rPr>
      </w:pPr>
    </w:p>
    <w:p w14:paraId="57D706C4" w14:textId="77777777" w:rsidR="006F34E3" w:rsidRPr="002E3B59" w:rsidRDefault="006F34E3" w:rsidP="006F34E3">
      <w:pPr>
        <w:autoSpaceDE w:val="0"/>
        <w:autoSpaceDN w:val="0"/>
        <w:adjustRightInd w:val="0"/>
        <w:spacing w:after="0" w:line="240" w:lineRule="auto"/>
        <w:rPr>
          <w:rFonts w:cstheme="minorHAnsi"/>
        </w:rPr>
      </w:pPr>
    </w:p>
    <w:p w14:paraId="059D018C" w14:textId="11D787B1" w:rsidR="006F34E3" w:rsidRPr="002E3B59" w:rsidRDefault="006F34E3" w:rsidP="006F34E3">
      <w:pPr>
        <w:rPr>
          <w:rFonts w:cstheme="minorHAnsi"/>
        </w:rPr>
      </w:pPr>
      <w:r w:rsidRPr="002E3B59">
        <w:rPr>
          <w:rFonts w:cstheme="minorHAnsi"/>
        </w:rPr>
        <w:t>Slide 4</w:t>
      </w:r>
    </w:p>
    <w:p w14:paraId="5FE819CE"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W-I-O-A has a vision for local workforce development boards that is articulated through the Boards’ stated purpose, membership composition, and roles and responsibilities. </w:t>
      </w:r>
    </w:p>
    <w:p w14:paraId="6632EEDE" w14:textId="77777777" w:rsidR="006F34E3" w:rsidRPr="002E3B59" w:rsidRDefault="006F34E3" w:rsidP="006F34E3">
      <w:pPr>
        <w:autoSpaceDE w:val="0"/>
        <w:autoSpaceDN w:val="0"/>
        <w:adjustRightInd w:val="0"/>
        <w:spacing w:after="0" w:line="240" w:lineRule="auto"/>
        <w:rPr>
          <w:rFonts w:cstheme="minorHAnsi"/>
        </w:rPr>
      </w:pPr>
    </w:p>
    <w:p w14:paraId="17C7EF78" w14:textId="4B029E3A" w:rsidR="006F34E3" w:rsidRPr="002E3B59" w:rsidRDefault="006F34E3" w:rsidP="006F34E3">
      <w:pPr>
        <w:spacing w:line="360" w:lineRule="auto"/>
        <w:rPr>
          <w:rFonts w:cstheme="minorHAnsi"/>
        </w:rPr>
      </w:pPr>
    </w:p>
    <w:p w14:paraId="7614F298" w14:textId="6EF338D4" w:rsidR="006F34E3" w:rsidRPr="002E3B59" w:rsidRDefault="006F34E3" w:rsidP="006F34E3">
      <w:pPr>
        <w:rPr>
          <w:rFonts w:cstheme="minorHAnsi"/>
        </w:rPr>
      </w:pPr>
      <w:r w:rsidRPr="002E3B59">
        <w:rPr>
          <w:rFonts w:cstheme="minorHAnsi"/>
        </w:rPr>
        <w:t>Slide 5</w:t>
      </w:r>
    </w:p>
    <w:p w14:paraId="1F9FC3D7"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purpose of the local workforce development board is multi-faceted.  It includes:</w:t>
      </w:r>
    </w:p>
    <w:p w14:paraId="4F28D94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Establishing the of W-I-O-A in the local area and overseeing local implementation of that vision. The Board fulfills this purpose by ensuring that the W-I-O-A plans, policies, and strategies reflect the W-I-O-A vision, embody the Hallmarks of Excellence, and are designed to build the talent pipeline that meets the needs of businesses and supports community prosperity.</w:t>
      </w:r>
    </w:p>
    <w:p w14:paraId="6D24989D"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In addition to its strategic role, the local board also has oversight responsibilities for ensuring the local system is accomplishing its purpose as outlined in </w:t>
      </w:r>
      <w:proofErr w:type="gramStart"/>
      <w:r w:rsidRPr="002E3B59">
        <w:rPr>
          <w:rFonts w:cstheme="minorHAnsi"/>
          <w:color w:val="000000"/>
        </w:rPr>
        <w:t>the  Act</w:t>
      </w:r>
      <w:proofErr w:type="gramEnd"/>
      <w:r w:rsidRPr="002E3B59">
        <w:rPr>
          <w:rFonts w:cstheme="minorHAnsi"/>
          <w:color w:val="000000"/>
        </w:rPr>
        <w:t>.</w:t>
      </w:r>
    </w:p>
    <w:p w14:paraId="2FFFA9BC"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local board also has a charge to manage the local system’s compliance and performance by focusing on development and continuous improvement of the local workforce system.</w:t>
      </w:r>
    </w:p>
    <w:p w14:paraId="2A6BF5FD" w14:textId="77777777" w:rsidR="006F34E3" w:rsidRPr="002E3B59" w:rsidRDefault="006F34E3" w:rsidP="006F34E3">
      <w:pPr>
        <w:spacing w:line="360" w:lineRule="auto"/>
        <w:rPr>
          <w:rFonts w:cstheme="minorHAnsi"/>
        </w:rPr>
      </w:pPr>
    </w:p>
    <w:p w14:paraId="306D0233" w14:textId="77777777" w:rsidR="002E3B59" w:rsidRDefault="002E3B59" w:rsidP="006F34E3">
      <w:pPr>
        <w:spacing w:line="360" w:lineRule="auto"/>
        <w:rPr>
          <w:rFonts w:cstheme="minorHAnsi"/>
        </w:rPr>
      </w:pPr>
    </w:p>
    <w:p w14:paraId="7976C9A5" w14:textId="77777777" w:rsidR="002E3B59" w:rsidRDefault="002E3B59" w:rsidP="006F34E3">
      <w:pPr>
        <w:spacing w:line="360" w:lineRule="auto"/>
        <w:rPr>
          <w:rFonts w:cstheme="minorHAnsi"/>
        </w:rPr>
      </w:pPr>
    </w:p>
    <w:p w14:paraId="071967A1" w14:textId="60FA32AC" w:rsidR="006F34E3" w:rsidRPr="002E3B59" w:rsidRDefault="006F34E3" w:rsidP="006F34E3">
      <w:pPr>
        <w:spacing w:line="360" w:lineRule="auto"/>
        <w:rPr>
          <w:rFonts w:cstheme="minorHAnsi"/>
        </w:rPr>
      </w:pPr>
      <w:r w:rsidRPr="002E3B59">
        <w:rPr>
          <w:rFonts w:cstheme="minorHAnsi"/>
        </w:rPr>
        <w:t>Slide 6</w:t>
      </w:r>
    </w:p>
    <w:p w14:paraId="6682175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Local workforce development boards oversee a defined geographic region called the local workforce development area or “local area”.  Local areas are the geographic area for which the local workforce board coordinates and oversees workforce programs and services.  They are identified using the following criteria: </w:t>
      </w:r>
    </w:p>
    <w:p w14:paraId="27C6A51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Consistent with labor market areas in the </w:t>
      </w:r>
      <w:proofErr w:type="gramStart"/>
      <w:r w:rsidRPr="002E3B59">
        <w:rPr>
          <w:rFonts w:cstheme="minorHAnsi"/>
          <w:color w:val="000000"/>
        </w:rPr>
        <w:t>state;</w:t>
      </w:r>
      <w:proofErr w:type="gramEnd"/>
    </w:p>
    <w:p w14:paraId="0AB87BEA"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Consistent with regional economic development areas in the state; and</w:t>
      </w:r>
    </w:p>
    <w:p w14:paraId="65A24D4C" w14:textId="50F4C528"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Have available the federal and non-federal resources, including appropriate education and training institutions, to effectively administer activities under the Youth, Adult, and Dislocated Worker programs under title I of W-I-O-A. </w:t>
      </w:r>
    </w:p>
    <w:p w14:paraId="22499D06" w14:textId="5DF19CA3" w:rsidR="006F34E3" w:rsidRPr="002E3B59" w:rsidRDefault="006F34E3" w:rsidP="006F34E3">
      <w:pPr>
        <w:spacing w:line="360" w:lineRule="auto"/>
        <w:rPr>
          <w:rFonts w:cstheme="minorHAnsi"/>
        </w:rPr>
      </w:pPr>
      <w:r w:rsidRPr="002E3B59">
        <w:rPr>
          <w:rFonts w:cstheme="minorHAnsi"/>
        </w:rPr>
        <w:t>Slide 7</w:t>
      </w:r>
    </w:p>
    <w:p w14:paraId="19130D22" w14:textId="3FFEEE58"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There are two types of Workforce area states. Most states have multiple local areas. This means there are multiple workforce areas and boards within the states. Single workforce area states are designated as “single area”.  This means the entirety of a state is designated and serves as the one local workforce development area. There a 16 states and territories that have been grandfathered in as “single area” states</w:t>
      </w:r>
    </w:p>
    <w:p w14:paraId="299ABC5C" w14:textId="77777777" w:rsidR="006F34E3" w:rsidRPr="002E3B59" w:rsidRDefault="006F34E3" w:rsidP="006F34E3">
      <w:pPr>
        <w:spacing w:line="360" w:lineRule="auto"/>
        <w:rPr>
          <w:rFonts w:cstheme="minorHAnsi"/>
        </w:rPr>
      </w:pPr>
    </w:p>
    <w:p w14:paraId="0850AAD2" w14:textId="6C58E6CA" w:rsidR="006F34E3" w:rsidRPr="002E3B59" w:rsidRDefault="006F34E3" w:rsidP="006F34E3">
      <w:pPr>
        <w:spacing w:line="360" w:lineRule="auto"/>
        <w:rPr>
          <w:rFonts w:cstheme="minorHAnsi"/>
        </w:rPr>
      </w:pPr>
      <w:r w:rsidRPr="002E3B59">
        <w:rPr>
          <w:rFonts w:cstheme="minorHAnsi"/>
        </w:rPr>
        <w:t>Slide 8</w:t>
      </w:r>
    </w:p>
    <w:p w14:paraId="4129096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Local workforce development boards are appointed by the Chief Local Elected Official and serve as the strategic leader and convener of workforce development system stakeholders in the local area. Like the State Workforce Development Board, </w:t>
      </w:r>
      <w:proofErr w:type="gramStart"/>
      <w:r w:rsidRPr="002E3B59">
        <w:rPr>
          <w:rFonts w:cstheme="minorHAnsi"/>
          <w:color w:val="000000"/>
        </w:rPr>
        <w:t>the majority of</w:t>
      </w:r>
      <w:proofErr w:type="gramEnd"/>
      <w:r w:rsidRPr="002E3B59">
        <w:rPr>
          <w:rFonts w:cstheme="minorHAnsi"/>
          <w:color w:val="000000"/>
        </w:rPr>
        <w:t xml:space="preserve"> local board members are business representatives, and a business representative must serve as the local board chair. </w:t>
      </w:r>
    </w:p>
    <w:p w14:paraId="5E59E046" w14:textId="77777777" w:rsidR="006F34E3" w:rsidRPr="002E3B59" w:rsidRDefault="006F34E3" w:rsidP="006F34E3">
      <w:pPr>
        <w:autoSpaceDE w:val="0"/>
        <w:autoSpaceDN w:val="0"/>
        <w:adjustRightInd w:val="0"/>
        <w:spacing w:after="0" w:line="240" w:lineRule="auto"/>
        <w:rPr>
          <w:rFonts w:cstheme="minorHAnsi"/>
          <w:color w:val="000000"/>
        </w:rPr>
      </w:pPr>
    </w:p>
    <w:p w14:paraId="38FDB7F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local board partners with employers and the workforce system to develop the Local W-I-O-A Plan, policies, and investments that support strategies that drive regional economies, including sector partnerships, career pathways, and high quality, customer-centered service delivery. Local boards are charged with implementing the W-I-O-A vision outlined in the State Plan and local board members have a unique opportunity to ensure strategic investments in talent development that meet local business’ needs. The mission and vision of local boards parallels the state board. Local boards may dig deeper into the community needs, while the state board will focus on the overarching needs of the state. </w:t>
      </w:r>
    </w:p>
    <w:p w14:paraId="78868292" w14:textId="77777777" w:rsidR="006F34E3" w:rsidRPr="002E3B59" w:rsidRDefault="006F34E3" w:rsidP="006F34E3">
      <w:pPr>
        <w:autoSpaceDE w:val="0"/>
        <w:autoSpaceDN w:val="0"/>
        <w:adjustRightInd w:val="0"/>
        <w:spacing w:after="0" w:line="240" w:lineRule="auto"/>
        <w:rPr>
          <w:rFonts w:cstheme="minorHAnsi"/>
          <w:color w:val="000000"/>
        </w:rPr>
      </w:pPr>
    </w:p>
    <w:p w14:paraId="5B4C1C10"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W-I-O-A requires that Governors certify that local boards are compliant with the Act and meet high performance standards. By certifying local boards, and then recertifying them every two years, Governors can administer their oversight authority and ensure accountability through standards that measure performance excellence. In effect, the Governor is certifying that the local area performed successfully and sustained its fiscal integrity. It is incumbent upon the Governor to act when local areas fall short in meeting their performance and fiscal requirements. They can require reorganizations or the establishment of new boards or local areas where warranted.</w:t>
      </w:r>
    </w:p>
    <w:p w14:paraId="11DD89ED" w14:textId="77777777" w:rsidR="006F34E3" w:rsidRPr="002E3B59" w:rsidRDefault="006F34E3" w:rsidP="006F34E3">
      <w:pPr>
        <w:autoSpaceDE w:val="0"/>
        <w:autoSpaceDN w:val="0"/>
        <w:adjustRightInd w:val="0"/>
        <w:spacing w:after="0" w:line="240" w:lineRule="auto"/>
        <w:rPr>
          <w:rFonts w:cstheme="minorHAnsi"/>
        </w:rPr>
      </w:pPr>
    </w:p>
    <w:p w14:paraId="6EC22C16" w14:textId="70E079D2" w:rsidR="006F34E3" w:rsidRPr="002E3B59" w:rsidRDefault="006F34E3" w:rsidP="006F34E3">
      <w:pPr>
        <w:spacing w:line="360" w:lineRule="auto"/>
        <w:rPr>
          <w:rFonts w:cstheme="minorHAnsi"/>
        </w:rPr>
      </w:pPr>
    </w:p>
    <w:p w14:paraId="19EBF61A" w14:textId="77777777" w:rsidR="002E3B59" w:rsidRDefault="002E3B59" w:rsidP="006F34E3">
      <w:pPr>
        <w:rPr>
          <w:rFonts w:cstheme="minorHAnsi"/>
        </w:rPr>
      </w:pPr>
    </w:p>
    <w:p w14:paraId="0435B909" w14:textId="77777777" w:rsidR="002E3B59" w:rsidRDefault="002E3B59" w:rsidP="006F34E3">
      <w:pPr>
        <w:rPr>
          <w:rFonts w:cstheme="minorHAnsi"/>
        </w:rPr>
      </w:pPr>
    </w:p>
    <w:p w14:paraId="64BC8764" w14:textId="0C4D1545" w:rsidR="006F34E3" w:rsidRPr="002E3B59" w:rsidRDefault="006F34E3" w:rsidP="006F34E3">
      <w:pPr>
        <w:rPr>
          <w:rFonts w:cstheme="minorHAnsi"/>
        </w:rPr>
      </w:pPr>
      <w:r w:rsidRPr="002E3B59">
        <w:rPr>
          <w:rFonts w:cstheme="minorHAnsi"/>
        </w:rPr>
        <w:t>Slide 9</w:t>
      </w:r>
    </w:p>
    <w:p w14:paraId="1B58D59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There are 4 core membership groups on local workforce development boards: Business, Workforce, Education &amp; Training, and Government. There are required seats and optional seats on the local board, and the minimum board size, based on W-I-O-A requirements is 19.  Beyond the minimum requirements, Chief Elected Officials decide the size of the board and the types of optional seats, if any, to be on the board.  This would change the membership calculations.</w:t>
      </w:r>
    </w:p>
    <w:p w14:paraId="3A067F15" w14:textId="77777777" w:rsidR="006F34E3" w:rsidRPr="002E3B59" w:rsidRDefault="006F34E3" w:rsidP="006F34E3">
      <w:pPr>
        <w:autoSpaceDE w:val="0"/>
        <w:autoSpaceDN w:val="0"/>
        <w:adjustRightInd w:val="0"/>
        <w:spacing w:after="0" w:line="240" w:lineRule="auto"/>
        <w:rPr>
          <w:rFonts w:cstheme="minorHAnsi"/>
          <w:color w:val="000000"/>
        </w:rPr>
      </w:pPr>
    </w:p>
    <w:p w14:paraId="26462D2F"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Let’s review who makes up each membership group. </w:t>
      </w:r>
    </w:p>
    <w:p w14:paraId="6D4034C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Business: As previously noted, Business members must comprise at least 51% of the local board.  Individuals in this group:</w:t>
      </w:r>
    </w:p>
    <w:p w14:paraId="53355B7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 Must be employed by a business. </w:t>
      </w:r>
    </w:p>
    <w:p w14:paraId="410274F1"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Further, individuals must be owners, chief executive or chief operating officers or must have policy making or hiring authority. In other words, it must be a person who has decision making authority within the company.</w:t>
      </w:r>
    </w:p>
    <w:p w14:paraId="164D0870"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Additionally, the company must provide employment in the local area AND the employment must be in in-demand occupations or sector</w:t>
      </w:r>
    </w:p>
    <w:p w14:paraId="24495DB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Two of the business seats must be filled by small businesses</w:t>
      </w:r>
    </w:p>
    <w:p w14:paraId="2D9D3C0E"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It should be noted that an individual who is retired is not eligible to fulfill any of the required membership categories on the board…even if that person was employed when first appointed</w:t>
      </w:r>
    </w:p>
    <w:p w14:paraId="0415A14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Members are to be nominated by local business organizations and/ or trade associations</w:t>
      </w:r>
    </w:p>
    <w:p w14:paraId="4CD80EFB" w14:textId="77777777" w:rsidR="006F34E3" w:rsidRPr="002E3B59" w:rsidRDefault="006F34E3" w:rsidP="006F34E3">
      <w:pPr>
        <w:autoSpaceDE w:val="0"/>
        <w:autoSpaceDN w:val="0"/>
        <w:adjustRightInd w:val="0"/>
        <w:spacing w:after="0" w:line="240" w:lineRule="auto"/>
        <w:rPr>
          <w:rFonts w:cstheme="minorHAnsi"/>
          <w:color w:val="000000"/>
        </w:rPr>
      </w:pPr>
    </w:p>
    <w:p w14:paraId="17C3A14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second category is Workforce which must comprise, at a minimum, 20% of the board. As with Business, this group represents one of the customer groups of the system.  Workforce local board members: </w:t>
      </w:r>
    </w:p>
    <w:p w14:paraId="470E0DEF"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representatives (plural) of labor organizations or other representatives of employees</w:t>
      </w:r>
    </w:p>
    <w:p w14:paraId="01396311"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two or more members of a labor organization or a training director from an apprenticeship program</w:t>
      </w:r>
    </w:p>
    <w:p w14:paraId="119A4378"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May include a member of CBO w/ expertise in serving veterans or individuals w/ disabilities, and</w:t>
      </w:r>
    </w:p>
    <w:p w14:paraId="661B003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May include a member of an organization w/ expertise in serving eligible youth, YOS</w:t>
      </w:r>
    </w:p>
    <w:p w14:paraId="34E487CD" w14:textId="77777777" w:rsidR="006F34E3" w:rsidRPr="002E3B59" w:rsidRDefault="006F34E3" w:rsidP="006F34E3">
      <w:pPr>
        <w:autoSpaceDE w:val="0"/>
        <w:autoSpaceDN w:val="0"/>
        <w:adjustRightInd w:val="0"/>
        <w:spacing w:after="0" w:line="240" w:lineRule="auto"/>
        <w:rPr>
          <w:rFonts w:cstheme="minorHAnsi"/>
          <w:color w:val="000000"/>
        </w:rPr>
      </w:pPr>
    </w:p>
    <w:p w14:paraId="3E3A93A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third local board membership category is Education and Training. Education and Training members: </w:t>
      </w:r>
    </w:p>
    <w:p w14:paraId="683F086A"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a representative of adult education</w:t>
      </w:r>
    </w:p>
    <w:p w14:paraId="5532C4CA"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a representative from higher education providing workforce investment activities, including community colleges, and</w:t>
      </w:r>
    </w:p>
    <w:p w14:paraId="17B4640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May include representatives of local educational agencies and community-based organizations with expertise in serving individuals with barriers to employment</w:t>
      </w:r>
    </w:p>
    <w:p w14:paraId="7E6D6668" w14:textId="77777777" w:rsidR="006F34E3" w:rsidRPr="002E3B59" w:rsidRDefault="006F34E3" w:rsidP="006F34E3">
      <w:pPr>
        <w:autoSpaceDE w:val="0"/>
        <w:autoSpaceDN w:val="0"/>
        <w:adjustRightInd w:val="0"/>
        <w:spacing w:after="0" w:line="240" w:lineRule="auto"/>
        <w:rPr>
          <w:rFonts w:cstheme="minorHAnsi"/>
          <w:color w:val="000000"/>
        </w:rPr>
      </w:pPr>
    </w:p>
    <w:p w14:paraId="45FEA12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final local board membership category is Government. This category: </w:t>
      </w:r>
    </w:p>
    <w:p w14:paraId="5478913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a member from economic and community development entities</w:t>
      </w:r>
    </w:p>
    <w:p w14:paraId="306781C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a member from the state employment service under the Wagner-</w:t>
      </w:r>
      <w:proofErr w:type="spellStart"/>
      <w:r w:rsidRPr="002E3B59">
        <w:rPr>
          <w:rFonts w:cstheme="minorHAnsi"/>
          <w:color w:val="000000"/>
        </w:rPr>
        <w:t>Peyser</w:t>
      </w:r>
      <w:proofErr w:type="spellEnd"/>
      <w:r w:rsidRPr="002E3B59">
        <w:rPr>
          <w:rFonts w:cstheme="minorHAnsi"/>
          <w:color w:val="000000"/>
        </w:rPr>
        <w:t xml:space="preserve"> Act</w:t>
      </w:r>
    </w:p>
    <w:p w14:paraId="0DE9D1B6"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Must include a representative from Vocational Rehabilitation</w:t>
      </w:r>
    </w:p>
    <w:p w14:paraId="5E1EEB9D"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May include a member from agencies running transportation, </w:t>
      </w:r>
      <w:proofErr w:type="gramStart"/>
      <w:r w:rsidRPr="002E3B59">
        <w:rPr>
          <w:rFonts w:cstheme="minorHAnsi"/>
          <w:color w:val="000000"/>
        </w:rPr>
        <w:t>housing</w:t>
      </w:r>
      <w:proofErr w:type="gramEnd"/>
      <w:r w:rsidRPr="002E3B59">
        <w:rPr>
          <w:rFonts w:cstheme="minorHAnsi"/>
          <w:color w:val="000000"/>
        </w:rPr>
        <w:t xml:space="preserve"> or public assistance programs, and</w:t>
      </w:r>
    </w:p>
    <w:p w14:paraId="6341BE3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May include a member from philanthropic organizations.</w:t>
      </w:r>
    </w:p>
    <w:p w14:paraId="6C2B88E4" w14:textId="77777777" w:rsidR="006F34E3" w:rsidRPr="002E3B59" w:rsidRDefault="006F34E3" w:rsidP="006F34E3">
      <w:pPr>
        <w:autoSpaceDE w:val="0"/>
        <w:autoSpaceDN w:val="0"/>
        <w:adjustRightInd w:val="0"/>
        <w:spacing w:after="0" w:line="240" w:lineRule="auto"/>
        <w:rPr>
          <w:rFonts w:cstheme="minorHAnsi"/>
        </w:rPr>
      </w:pPr>
    </w:p>
    <w:p w14:paraId="00D55056" w14:textId="77777777" w:rsidR="002E3B59" w:rsidRDefault="002E3B59" w:rsidP="006F34E3">
      <w:pPr>
        <w:spacing w:line="360" w:lineRule="auto"/>
        <w:rPr>
          <w:rFonts w:cstheme="minorHAnsi"/>
        </w:rPr>
      </w:pPr>
    </w:p>
    <w:p w14:paraId="0E18EF07" w14:textId="1C082DE4" w:rsidR="006F34E3" w:rsidRPr="002E3B59" w:rsidRDefault="006F34E3" w:rsidP="006F34E3">
      <w:pPr>
        <w:spacing w:line="360" w:lineRule="auto"/>
        <w:rPr>
          <w:rFonts w:cstheme="minorHAnsi"/>
        </w:rPr>
      </w:pPr>
      <w:r w:rsidRPr="002E3B59">
        <w:rPr>
          <w:rFonts w:cstheme="minorHAnsi"/>
        </w:rPr>
        <w:t>Slide 10</w:t>
      </w:r>
    </w:p>
    <w:p w14:paraId="0616E3A7"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Based on the reform principles in W-I-O-A, the US Department of Labor, Employment and Training Administration (ETA) has developed a vision for the impact of local workforce development boards in transforming and improving the workforce system and building a sustaining system for board excellence. It outlines four strategic roles that all high-performing boards will play. Working together, board members will ensure that the board has the capacity to perform the functions associated with each of these roles.</w:t>
      </w:r>
    </w:p>
    <w:p w14:paraId="372842E7" w14:textId="77777777" w:rsidR="006F34E3" w:rsidRPr="002E3B59" w:rsidRDefault="006F34E3" w:rsidP="006F34E3">
      <w:pPr>
        <w:autoSpaceDE w:val="0"/>
        <w:autoSpaceDN w:val="0"/>
        <w:adjustRightInd w:val="0"/>
        <w:spacing w:after="0" w:line="240" w:lineRule="auto"/>
        <w:rPr>
          <w:rFonts w:cstheme="minorHAnsi"/>
          <w:color w:val="000000"/>
        </w:rPr>
      </w:pPr>
    </w:p>
    <w:p w14:paraId="1E9B6B77"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roles and responsibilities of the local board can be divided into four categories: strategist, convener, manager, and optimizer. </w:t>
      </w:r>
    </w:p>
    <w:p w14:paraId="4B767C03" w14:textId="77777777" w:rsidR="006F34E3" w:rsidRPr="002E3B59" w:rsidRDefault="006F34E3" w:rsidP="006F34E3">
      <w:pPr>
        <w:autoSpaceDE w:val="0"/>
        <w:autoSpaceDN w:val="0"/>
        <w:adjustRightInd w:val="0"/>
        <w:spacing w:after="0" w:line="240" w:lineRule="auto"/>
        <w:rPr>
          <w:rFonts w:cstheme="minorHAnsi"/>
          <w:color w:val="000000"/>
        </w:rPr>
      </w:pPr>
    </w:p>
    <w:p w14:paraId="1B80596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In its role as Convener, the Board brings together the business community, labor, education, and other workforce partners and stakeholders to identify and achieve shared goals for the local community. The Board provides the forum that makes it possible for the diverse segments of the community to come together to achieve a unified purpose.</w:t>
      </w:r>
    </w:p>
    <w:p w14:paraId="25F1B35C"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Board is the Strategist that develops the vision, goals, and strategies for the local workforce system that best meet the needs of employers and workers.</w:t>
      </w:r>
    </w:p>
    <w:p w14:paraId="447A9116"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In its role as Manager, the Board performs many critical management functions to ensure that the workforce system performs effectively and in compliance with established requirements. The law and regulations prescribe many of the required management functions that the Board must carry out. </w:t>
      </w:r>
    </w:p>
    <w:p w14:paraId="2D1CC977"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As an Optimizer, the Board works to achieve the best results that the local workforce system can obtain through a process of continuous improvement.</w:t>
      </w:r>
    </w:p>
    <w:p w14:paraId="4469B737" w14:textId="77777777" w:rsidR="006F34E3" w:rsidRPr="002E3B59" w:rsidRDefault="006F34E3" w:rsidP="006F34E3">
      <w:pPr>
        <w:autoSpaceDE w:val="0"/>
        <w:autoSpaceDN w:val="0"/>
        <w:adjustRightInd w:val="0"/>
        <w:spacing w:after="0" w:line="240" w:lineRule="auto"/>
        <w:rPr>
          <w:rFonts w:cstheme="minorHAnsi"/>
          <w:color w:val="000000"/>
        </w:rPr>
      </w:pPr>
    </w:p>
    <w:p w14:paraId="0E46F879" w14:textId="593C7761"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In alignment with this module, we suggest using the 2019 A Call to Action for Workforce Development Boards located in Workforce GPS as an additional resource.</w:t>
      </w:r>
    </w:p>
    <w:p w14:paraId="440EBE70" w14:textId="2EA0D9B9" w:rsidR="006F34E3" w:rsidRPr="002E3B59" w:rsidRDefault="006F34E3" w:rsidP="006F34E3">
      <w:pPr>
        <w:spacing w:line="360" w:lineRule="auto"/>
        <w:rPr>
          <w:rFonts w:cstheme="minorHAnsi"/>
        </w:rPr>
      </w:pPr>
    </w:p>
    <w:p w14:paraId="416B2E0D" w14:textId="77777777" w:rsidR="002E3B59" w:rsidRPr="002E3B59" w:rsidRDefault="002E3B59" w:rsidP="002E3B59">
      <w:pPr>
        <w:spacing w:line="360" w:lineRule="auto"/>
        <w:rPr>
          <w:rFonts w:cstheme="minorHAnsi"/>
        </w:rPr>
      </w:pPr>
      <w:r w:rsidRPr="002E3B59">
        <w:rPr>
          <w:rFonts w:cstheme="minorHAnsi"/>
        </w:rPr>
        <w:t>Slide 11</w:t>
      </w:r>
    </w:p>
    <w:p w14:paraId="47D27513" w14:textId="77777777" w:rsidR="002E3B59" w:rsidRPr="002E3B59" w:rsidRDefault="002E3B59" w:rsidP="002E3B59">
      <w:pPr>
        <w:autoSpaceDE w:val="0"/>
        <w:autoSpaceDN w:val="0"/>
        <w:adjustRightInd w:val="0"/>
        <w:spacing w:after="0" w:line="240" w:lineRule="auto"/>
        <w:rPr>
          <w:rFonts w:cstheme="minorHAnsi"/>
          <w:color w:val="000000"/>
        </w:rPr>
      </w:pPr>
      <w:r w:rsidRPr="002E3B59">
        <w:rPr>
          <w:rFonts w:cstheme="minorHAnsi"/>
          <w:color w:val="000000"/>
        </w:rPr>
        <w:t>There are two types of Workforce area states. Most states have multiple local areas. This means there are multiple workforce areas and boards within the states. Single workforce area states are designated as “single area”.  This means the entirety of a state is designated and serves as the one local workforce development area. There a 16 states and territories that have been grandfathered in as “single area” states</w:t>
      </w:r>
    </w:p>
    <w:p w14:paraId="6BCD6366" w14:textId="77777777" w:rsidR="002E3B59" w:rsidRPr="002E3B59" w:rsidRDefault="002E3B59" w:rsidP="006F34E3">
      <w:pPr>
        <w:spacing w:line="360" w:lineRule="auto"/>
        <w:rPr>
          <w:rFonts w:cstheme="minorHAnsi"/>
        </w:rPr>
      </w:pPr>
    </w:p>
    <w:p w14:paraId="034C00E9" w14:textId="36E1866D" w:rsidR="006F34E3" w:rsidRPr="002E3B59" w:rsidRDefault="006F34E3" w:rsidP="006F34E3">
      <w:pPr>
        <w:rPr>
          <w:rFonts w:cstheme="minorHAnsi"/>
        </w:rPr>
      </w:pPr>
      <w:r w:rsidRPr="002E3B59">
        <w:rPr>
          <w:rFonts w:cstheme="minorHAnsi"/>
        </w:rPr>
        <w:t>Slide 12</w:t>
      </w:r>
    </w:p>
    <w:p w14:paraId="3EFC92A7"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Let’s first explore the Board’s role as a Convener.</w:t>
      </w:r>
    </w:p>
    <w:p w14:paraId="7A92E4BC" w14:textId="77777777" w:rsidR="006F34E3" w:rsidRPr="002E3B59" w:rsidRDefault="006F34E3" w:rsidP="006F34E3">
      <w:pPr>
        <w:autoSpaceDE w:val="0"/>
        <w:autoSpaceDN w:val="0"/>
        <w:adjustRightInd w:val="0"/>
        <w:spacing w:after="0" w:line="240" w:lineRule="auto"/>
        <w:rPr>
          <w:rFonts w:cstheme="minorHAnsi"/>
          <w:color w:val="000000"/>
        </w:rPr>
      </w:pPr>
    </w:p>
    <w:p w14:paraId="705DF8DB"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role of Convener requires boards to build and nurture strong local partnerships with its one-stop partners and community organizations, including business, education, and economic development. Implied in the Convener role is the premise that the local board is not the only entity responsible for building a world class workforce system. The board’s power lies in being able to set the vision and </w:t>
      </w:r>
      <w:r w:rsidRPr="002E3B59">
        <w:rPr>
          <w:rFonts w:cstheme="minorHAnsi"/>
          <w:color w:val="000000"/>
        </w:rPr>
        <w:lastRenderedPageBreak/>
        <w:t xml:space="preserve">convene the appropriate partners to broker a comprehensive set of solutions for businesses and job seekers. </w:t>
      </w:r>
    </w:p>
    <w:p w14:paraId="6020CD70" w14:textId="77777777" w:rsidR="006F34E3" w:rsidRPr="002E3B59" w:rsidRDefault="006F34E3" w:rsidP="006F34E3">
      <w:pPr>
        <w:autoSpaceDE w:val="0"/>
        <w:autoSpaceDN w:val="0"/>
        <w:adjustRightInd w:val="0"/>
        <w:spacing w:after="0" w:line="240" w:lineRule="auto"/>
        <w:rPr>
          <w:rFonts w:cstheme="minorHAnsi"/>
          <w:color w:val="000000"/>
        </w:rPr>
      </w:pPr>
    </w:p>
    <w:p w14:paraId="65762078"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Board uses its Convener role to lead the development of key requirements under W-I-O-A including the One Stop System, Regional Analyses of economic conditions and workforce skills needs, strategies to address workforce needs, local workforce development plans, a memorandum of understanding which outlines how the partners will work together to fully and effectively serve job seeker and business customers, and an Infrastructure Funding Agreement which outlines how partners will share costs.  </w:t>
      </w:r>
    </w:p>
    <w:p w14:paraId="7FC8932D" w14:textId="77777777" w:rsidR="006F34E3" w:rsidRPr="002E3B59" w:rsidRDefault="006F34E3" w:rsidP="006F34E3">
      <w:pPr>
        <w:autoSpaceDE w:val="0"/>
        <w:autoSpaceDN w:val="0"/>
        <w:adjustRightInd w:val="0"/>
        <w:spacing w:after="0" w:line="240" w:lineRule="auto"/>
        <w:rPr>
          <w:rFonts w:cstheme="minorHAnsi"/>
        </w:rPr>
      </w:pPr>
    </w:p>
    <w:p w14:paraId="3CF15A4B" w14:textId="4CC321A7" w:rsidR="006F34E3" w:rsidRPr="002E3B59" w:rsidRDefault="006F34E3" w:rsidP="006F34E3">
      <w:pPr>
        <w:spacing w:line="360" w:lineRule="auto"/>
        <w:rPr>
          <w:rFonts w:cstheme="minorHAnsi"/>
        </w:rPr>
      </w:pPr>
    </w:p>
    <w:p w14:paraId="5D0CF90A" w14:textId="1288FB53" w:rsidR="006F34E3" w:rsidRPr="002E3B59" w:rsidRDefault="006F34E3" w:rsidP="006F34E3">
      <w:pPr>
        <w:spacing w:line="360" w:lineRule="auto"/>
        <w:rPr>
          <w:rFonts w:cstheme="minorHAnsi"/>
        </w:rPr>
      </w:pPr>
      <w:r w:rsidRPr="002E3B59">
        <w:rPr>
          <w:rFonts w:cstheme="minorHAnsi"/>
        </w:rPr>
        <w:t>Slide 13</w:t>
      </w:r>
    </w:p>
    <w:p w14:paraId="4C376A4B"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A key task of the local board as Convener is to negotiate the terms of a MOU with the one stop system partners. The MOU should outline how the partners will work together to carry out the functions of the one stop and central to that is how services will be integrated across programs and funding streams. The MOU should also align with the Local Plan as well as the One Stop Budget. </w:t>
      </w:r>
    </w:p>
    <w:p w14:paraId="04F59006" w14:textId="77777777" w:rsidR="006F34E3" w:rsidRPr="002E3B59" w:rsidRDefault="006F34E3" w:rsidP="006F34E3">
      <w:pPr>
        <w:autoSpaceDE w:val="0"/>
        <w:autoSpaceDN w:val="0"/>
        <w:adjustRightInd w:val="0"/>
        <w:spacing w:after="0" w:line="240" w:lineRule="auto"/>
        <w:rPr>
          <w:rFonts w:cstheme="minorHAnsi"/>
          <w:color w:val="000000"/>
        </w:rPr>
      </w:pPr>
    </w:p>
    <w:p w14:paraId="5BA2E250"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U S Department of Labor has developed a toolkit to support locals with the development of the MOU. It can be accessed on www.workforcegps.org.</w:t>
      </w:r>
    </w:p>
    <w:p w14:paraId="12D0F061" w14:textId="77777777" w:rsidR="006F34E3" w:rsidRPr="002E3B59" w:rsidRDefault="006F34E3" w:rsidP="006F34E3">
      <w:pPr>
        <w:autoSpaceDE w:val="0"/>
        <w:autoSpaceDN w:val="0"/>
        <w:adjustRightInd w:val="0"/>
        <w:spacing w:after="0" w:line="240" w:lineRule="auto"/>
        <w:rPr>
          <w:rFonts w:cstheme="minorHAnsi"/>
        </w:rPr>
      </w:pPr>
    </w:p>
    <w:p w14:paraId="1C8799F9" w14:textId="74A2807E" w:rsidR="006F34E3" w:rsidRPr="002E3B59" w:rsidRDefault="006F34E3" w:rsidP="006F34E3">
      <w:pPr>
        <w:spacing w:line="360" w:lineRule="auto"/>
        <w:rPr>
          <w:rFonts w:cstheme="minorHAnsi"/>
        </w:rPr>
      </w:pPr>
    </w:p>
    <w:p w14:paraId="17D5C873" w14:textId="7C345B44" w:rsidR="006F34E3" w:rsidRPr="002E3B59" w:rsidRDefault="006F34E3" w:rsidP="006F34E3">
      <w:pPr>
        <w:rPr>
          <w:rFonts w:cstheme="minorHAnsi"/>
        </w:rPr>
      </w:pPr>
      <w:r w:rsidRPr="002E3B59">
        <w:rPr>
          <w:rFonts w:cstheme="minorHAnsi"/>
        </w:rPr>
        <w:t>Slide 14</w:t>
      </w:r>
    </w:p>
    <w:p w14:paraId="3C6F6F6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Infrastructure Funding Agreement or IFA is a required companion piece to the MOU and requires the local board to convene partners to identify costs and how the burden of those costs will be shared across partners.</w:t>
      </w:r>
    </w:p>
    <w:p w14:paraId="1A11067A" w14:textId="77777777" w:rsidR="006F34E3" w:rsidRPr="002E3B59" w:rsidRDefault="006F34E3" w:rsidP="006F34E3">
      <w:pPr>
        <w:autoSpaceDE w:val="0"/>
        <w:autoSpaceDN w:val="0"/>
        <w:adjustRightInd w:val="0"/>
        <w:spacing w:after="0" w:line="240" w:lineRule="auto"/>
        <w:rPr>
          <w:rFonts w:cstheme="minorHAnsi"/>
          <w:color w:val="000000"/>
        </w:rPr>
      </w:pPr>
    </w:p>
    <w:p w14:paraId="1A32442C"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Infrastructure costs of one stop centers are non-personnel costs that are necessary for the general operation of the one stop center including:</w:t>
      </w:r>
    </w:p>
    <w:p w14:paraId="156E1B4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Rental of the facilities</w:t>
      </w:r>
    </w:p>
    <w:p w14:paraId="3C18938F"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Utilities and maintenance</w:t>
      </w:r>
    </w:p>
    <w:p w14:paraId="15E1B3F6"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Equipment (including assessment related products and assistive technology for individuals with disabilities) and</w:t>
      </w:r>
    </w:p>
    <w:p w14:paraId="0EC1A42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Technology to facilitate access to the one stop center, including technology used for the center’s planning and outreach activities</w:t>
      </w:r>
    </w:p>
    <w:p w14:paraId="35C275EF" w14:textId="77777777" w:rsidR="006F34E3" w:rsidRPr="002E3B59" w:rsidRDefault="006F34E3" w:rsidP="006F34E3">
      <w:pPr>
        <w:autoSpaceDE w:val="0"/>
        <w:autoSpaceDN w:val="0"/>
        <w:adjustRightInd w:val="0"/>
        <w:spacing w:after="0" w:line="240" w:lineRule="auto"/>
        <w:rPr>
          <w:rFonts w:cstheme="minorHAnsi"/>
          <w:color w:val="000000"/>
        </w:rPr>
      </w:pPr>
    </w:p>
    <w:p w14:paraId="0033138A"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W-I-O-A requires that each entity that carries out a program or activities in a local one stop center must use a portion of the funds available for the program and activities to maintain the one stop delivery system, including payment of the infrastructure costs. The IFA outlines how those infrastructure costs will be funded across the system partners.</w:t>
      </w:r>
    </w:p>
    <w:p w14:paraId="42815413" w14:textId="77777777" w:rsidR="006F34E3" w:rsidRPr="002E3B59" w:rsidRDefault="006F34E3" w:rsidP="006F34E3">
      <w:pPr>
        <w:autoSpaceDE w:val="0"/>
        <w:autoSpaceDN w:val="0"/>
        <w:adjustRightInd w:val="0"/>
        <w:spacing w:after="0" w:line="240" w:lineRule="auto"/>
        <w:rPr>
          <w:rFonts w:cstheme="minorHAnsi"/>
        </w:rPr>
      </w:pPr>
    </w:p>
    <w:p w14:paraId="698C8B60" w14:textId="7683268E" w:rsidR="006F34E3" w:rsidRPr="002E3B59" w:rsidRDefault="006F34E3" w:rsidP="006F34E3">
      <w:pPr>
        <w:spacing w:line="360" w:lineRule="auto"/>
        <w:rPr>
          <w:rFonts w:cstheme="minorHAnsi"/>
        </w:rPr>
      </w:pPr>
    </w:p>
    <w:p w14:paraId="1C8D3C44" w14:textId="35ABEFEB" w:rsidR="006F34E3" w:rsidRPr="002E3B59" w:rsidRDefault="006F34E3" w:rsidP="006F34E3">
      <w:pPr>
        <w:rPr>
          <w:rFonts w:cstheme="minorHAnsi"/>
        </w:rPr>
      </w:pPr>
      <w:r w:rsidRPr="002E3B59">
        <w:rPr>
          <w:rFonts w:cstheme="minorHAnsi"/>
        </w:rPr>
        <w:t>Slide 15</w:t>
      </w:r>
    </w:p>
    <w:p w14:paraId="16CAEEE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lastRenderedPageBreak/>
        <w:t xml:space="preserve">The second role of the local board is strategist. The local board performs the strategic role of fitting together, into one unified whole, </w:t>
      </w:r>
      <w:proofErr w:type="gramStart"/>
      <w:r w:rsidRPr="002E3B59">
        <w:rPr>
          <w:rFonts w:cstheme="minorHAnsi"/>
          <w:color w:val="000000"/>
        </w:rPr>
        <w:t>all of</w:t>
      </w:r>
      <w:proofErr w:type="gramEnd"/>
      <w:r w:rsidRPr="002E3B59">
        <w:rPr>
          <w:rFonts w:cstheme="minorHAnsi"/>
          <w:color w:val="000000"/>
        </w:rPr>
        <w:t xml:space="preserve"> the individual pieces that represent the goals, interests and concerns of the diverse segments of the community.</w:t>
      </w:r>
    </w:p>
    <w:p w14:paraId="023B8B88" w14:textId="77777777" w:rsidR="006F34E3" w:rsidRPr="002E3B59" w:rsidRDefault="006F34E3" w:rsidP="006F34E3">
      <w:pPr>
        <w:autoSpaceDE w:val="0"/>
        <w:autoSpaceDN w:val="0"/>
        <w:adjustRightInd w:val="0"/>
        <w:spacing w:after="0" w:line="240" w:lineRule="auto"/>
        <w:rPr>
          <w:rFonts w:cstheme="minorHAnsi"/>
          <w:kern w:val="24"/>
        </w:rPr>
      </w:pPr>
    </w:p>
    <w:p w14:paraId="416486B2" w14:textId="77777777" w:rsidR="006F34E3" w:rsidRPr="002E3B59" w:rsidRDefault="006F34E3" w:rsidP="006F34E3">
      <w:pPr>
        <w:autoSpaceDE w:val="0"/>
        <w:autoSpaceDN w:val="0"/>
        <w:adjustRightInd w:val="0"/>
        <w:spacing w:after="0" w:line="240" w:lineRule="auto"/>
        <w:rPr>
          <w:rFonts w:cstheme="minorHAnsi"/>
        </w:rPr>
      </w:pPr>
    </w:p>
    <w:p w14:paraId="480DE3B2" w14:textId="7FBCBAFF" w:rsidR="006F34E3" w:rsidRPr="002E3B59" w:rsidRDefault="006F34E3" w:rsidP="006F34E3">
      <w:pPr>
        <w:rPr>
          <w:rFonts w:cstheme="minorHAnsi"/>
        </w:rPr>
      </w:pPr>
      <w:r w:rsidRPr="002E3B59">
        <w:rPr>
          <w:rFonts w:cstheme="minorHAnsi"/>
        </w:rPr>
        <w:t>Slide 16</w:t>
      </w:r>
    </w:p>
    <w:p w14:paraId="653940C1"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Board exercises strategic leadership in achieving the vision and goals of the state and local economies. </w:t>
      </w:r>
      <w:proofErr w:type="gramStart"/>
      <w:r w:rsidRPr="002E3B59">
        <w:rPr>
          <w:rFonts w:cstheme="minorHAnsi"/>
          <w:color w:val="000000"/>
        </w:rPr>
        <w:t>In order to</w:t>
      </w:r>
      <w:proofErr w:type="gramEnd"/>
      <w:r w:rsidRPr="002E3B59">
        <w:rPr>
          <w:rFonts w:cstheme="minorHAnsi"/>
          <w:color w:val="000000"/>
        </w:rPr>
        <w:t xml:space="preserve"> be strategic, a local board must position itself to understand the needs of businesses on an ongoing basis to ensure that the workforce system is providing relevant solutions. Workforce data collection and analysis enables the local board to understand and respond to local economic and workforce needs and trends and to position the system to meet customers’ needs. That understanding informs the design of the local system which implements strategies and services to provide workers with the knowledge, skills, and abilities that local employers need to grow.  In a nutshell, the local board cannot be strategic if it is not </w:t>
      </w:r>
      <w:proofErr w:type="gramStart"/>
      <w:r w:rsidRPr="002E3B59">
        <w:rPr>
          <w:rFonts w:cstheme="minorHAnsi"/>
          <w:color w:val="000000"/>
        </w:rPr>
        <w:t>data-driven</w:t>
      </w:r>
      <w:proofErr w:type="gramEnd"/>
      <w:r w:rsidRPr="002E3B59">
        <w:rPr>
          <w:rFonts w:cstheme="minorHAnsi"/>
          <w:color w:val="000000"/>
        </w:rPr>
        <w:t>.</w:t>
      </w:r>
    </w:p>
    <w:p w14:paraId="60760C2C" w14:textId="77777777" w:rsidR="006F34E3" w:rsidRPr="002E3B59" w:rsidRDefault="006F34E3" w:rsidP="006F34E3">
      <w:pPr>
        <w:autoSpaceDE w:val="0"/>
        <w:autoSpaceDN w:val="0"/>
        <w:adjustRightInd w:val="0"/>
        <w:spacing w:after="0" w:line="240" w:lineRule="auto"/>
        <w:rPr>
          <w:rFonts w:eastAsia="Times New Roman" w:cstheme="minorHAnsi"/>
          <w:kern w:val="24"/>
        </w:rPr>
      </w:pPr>
    </w:p>
    <w:p w14:paraId="660BF32B" w14:textId="156CF6A2" w:rsidR="006F34E3" w:rsidRPr="002E3B59" w:rsidRDefault="006F34E3" w:rsidP="006F34E3">
      <w:pPr>
        <w:spacing w:line="360" w:lineRule="auto"/>
        <w:rPr>
          <w:rFonts w:cstheme="minorHAnsi"/>
        </w:rPr>
      </w:pPr>
    </w:p>
    <w:p w14:paraId="3E50662C" w14:textId="298D5798" w:rsidR="006F34E3" w:rsidRPr="002E3B59" w:rsidRDefault="006F34E3" w:rsidP="006F34E3">
      <w:pPr>
        <w:rPr>
          <w:rFonts w:cstheme="minorHAnsi"/>
        </w:rPr>
      </w:pPr>
      <w:r w:rsidRPr="002E3B59">
        <w:rPr>
          <w:rFonts w:cstheme="minorHAnsi"/>
        </w:rPr>
        <w:t>Slide 17</w:t>
      </w:r>
    </w:p>
    <w:p w14:paraId="47C5CC1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As a recap from Module 1, let’s do a quick review of the local workforce system for which the local board is developing its vision, </w:t>
      </w:r>
      <w:proofErr w:type="gramStart"/>
      <w:r w:rsidRPr="002E3B59">
        <w:rPr>
          <w:rFonts w:cstheme="minorHAnsi"/>
          <w:color w:val="000000"/>
        </w:rPr>
        <w:t>goals</w:t>
      </w:r>
      <w:proofErr w:type="gramEnd"/>
      <w:r w:rsidRPr="002E3B59">
        <w:rPr>
          <w:rFonts w:cstheme="minorHAnsi"/>
          <w:color w:val="000000"/>
        </w:rPr>
        <w:t xml:space="preserve"> and strategies. </w:t>
      </w:r>
    </w:p>
    <w:p w14:paraId="0A32D989" w14:textId="77777777" w:rsidR="006F34E3" w:rsidRPr="002E3B59" w:rsidRDefault="006F34E3" w:rsidP="006F34E3">
      <w:pPr>
        <w:autoSpaceDE w:val="0"/>
        <w:autoSpaceDN w:val="0"/>
        <w:adjustRightInd w:val="0"/>
        <w:spacing w:after="0" w:line="240" w:lineRule="auto"/>
        <w:rPr>
          <w:rFonts w:cstheme="minorHAnsi"/>
          <w:color w:val="000000"/>
        </w:rPr>
      </w:pPr>
    </w:p>
    <w:p w14:paraId="5BD00E1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Workforce System:</w:t>
      </w:r>
    </w:p>
    <w:p w14:paraId="57B8B64F"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Brings together various programs (known as partners) to provide a seamless customer focused network of physical and virtual services</w:t>
      </w:r>
    </w:p>
    <w:p w14:paraId="6436D282"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 xml:space="preserve">Goal is to improve long term employment outcomes </w:t>
      </w:r>
    </w:p>
    <w:p w14:paraId="2636AEF4"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Dual customers: businesses and individuals</w:t>
      </w:r>
    </w:p>
    <w:p w14:paraId="1AE2856F"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Known nationally as the American Job Center network</w:t>
      </w:r>
    </w:p>
    <w:p w14:paraId="7F25AF0A"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Overseen by local workforce development board</w:t>
      </w:r>
    </w:p>
    <w:p w14:paraId="63B909EB" w14:textId="77777777" w:rsidR="006F34E3" w:rsidRPr="002E3B59" w:rsidRDefault="006F34E3" w:rsidP="006F34E3">
      <w:pPr>
        <w:autoSpaceDE w:val="0"/>
        <w:autoSpaceDN w:val="0"/>
        <w:adjustRightInd w:val="0"/>
        <w:spacing w:after="0" w:line="240" w:lineRule="auto"/>
        <w:rPr>
          <w:rFonts w:cstheme="minorHAnsi"/>
          <w:kern w:val="24"/>
        </w:rPr>
      </w:pPr>
    </w:p>
    <w:p w14:paraId="4CBE5CCE" w14:textId="77777777" w:rsidR="006F34E3" w:rsidRPr="002E3B59" w:rsidRDefault="006F34E3" w:rsidP="006F34E3">
      <w:pPr>
        <w:autoSpaceDE w:val="0"/>
        <w:autoSpaceDN w:val="0"/>
        <w:adjustRightInd w:val="0"/>
        <w:spacing w:after="0" w:line="240" w:lineRule="auto"/>
        <w:rPr>
          <w:rFonts w:cstheme="minorHAnsi"/>
        </w:rPr>
      </w:pPr>
    </w:p>
    <w:p w14:paraId="15727342" w14:textId="4358A3A1" w:rsidR="006F34E3" w:rsidRPr="002E3B59" w:rsidRDefault="006F34E3" w:rsidP="006F34E3">
      <w:pPr>
        <w:rPr>
          <w:rFonts w:cstheme="minorHAnsi"/>
        </w:rPr>
      </w:pPr>
      <w:r w:rsidRPr="002E3B59">
        <w:rPr>
          <w:rFonts w:cstheme="minorHAnsi"/>
        </w:rPr>
        <w:t>Slide 18</w:t>
      </w:r>
    </w:p>
    <w:p w14:paraId="2A063F5C" w14:textId="77777777" w:rsidR="006F34E3" w:rsidRPr="002E3B59" w:rsidRDefault="006F34E3" w:rsidP="006F34E3">
      <w:pPr>
        <w:autoSpaceDE w:val="0"/>
        <w:autoSpaceDN w:val="0"/>
        <w:adjustRightInd w:val="0"/>
        <w:spacing w:after="0" w:line="240" w:lineRule="auto"/>
        <w:rPr>
          <w:rFonts w:cstheme="minorHAnsi"/>
        </w:rPr>
      </w:pPr>
      <w:r w:rsidRPr="002E3B59">
        <w:rPr>
          <w:rFonts w:cstheme="minorHAnsi"/>
        </w:rPr>
        <w:t>What does strategic system design mean? It means that decisions around how the system is structured and the services it provides are determined by workforce data around which industries are growing in the regional economy and what skills they need to meet their rising demand.</w:t>
      </w:r>
    </w:p>
    <w:p w14:paraId="4CB9824A" w14:textId="77777777" w:rsidR="006F34E3" w:rsidRPr="002E3B59" w:rsidRDefault="006F34E3" w:rsidP="006F34E3">
      <w:pPr>
        <w:autoSpaceDE w:val="0"/>
        <w:autoSpaceDN w:val="0"/>
        <w:adjustRightInd w:val="0"/>
        <w:spacing w:after="0" w:line="240" w:lineRule="auto"/>
        <w:rPr>
          <w:rFonts w:cstheme="minorHAnsi"/>
        </w:rPr>
      </w:pPr>
    </w:p>
    <w:p w14:paraId="03C830DF"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rPr>
        <w:t xml:space="preserve">The strategies that local boards around the country use to meet that demand include things such as sector partnerships and strategies. </w:t>
      </w:r>
      <w:r w:rsidRPr="002E3B59">
        <w:rPr>
          <w:rFonts w:cstheme="minorHAnsi"/>
          <w:color w:val="000000"/>
        </w:rPr>
        <w:t xml:space="preserve">Sector partnerships are business-driven partnerships among companies in a regional target industry and other regional partners that work together to develop and implement solutions for the industry’s workforce and other needs.  Sector strategies are the business-driven workforce and other solutions developed and implemented by education, training, and other “public” partners in the sector partnership to address the needs and challenges identified by companies in the target industry.  These solutions are developed in partnership with business and are continually re-examined and refined to address business feedback over time.  Sector strategies may encompass a range of activities, </w:t>
      </w:r>
      <w:proofErr w:type="gramStart"/>
      <w:r w:rsidRPr="002E3B59">
        <w:rPr>
          <w:rFonts w:cstheme="minorHAnsi"/>
          <w:color w:val="000000"/>
        </w:rPr>
        <w:t>from development of industry-driven workforce goals and corresponding strategic and action plans and policies,</w:t>
      </w:r>
      <w:proofErr w:type="gramEnd"/>
      <w:r w:rsidRPr="002E3B59">
        <w:rPr>
          <w:rFonts w:cstheme="minorHAnsi"/>
          <w:color w:val="000000"/>
        </w:rPr>
        <w:t xml:space="preserve"> to enhancements in both business and job seeker </w:t>
      </w:r>
      <w:r w:rsidRPr="002E3B59">
        <w:rPr>
          <w:rFonts w:cstheme="minorHAnsi"/>
          <w:color w:val="000000"/>
        </w:rPr>
        <w:lastRenderedPageBreak/>
        <w:t>services designed to be more responsive to the needs of businesses in the target sector.  No matter their focus, sector strategies are designed to meet the needs of multiple businesses in a target industry at scale, as opposed to only addressing individual company needs.  As important, sector strategies must be continuously re-examined, and adjusted as necessary, to ensure that they remain relevant and responsive to the changing needs of businesses in the sector.</w:t>
      </w:r>
    </w:p>
    <w:p w14:paraId="32078246" w14:textId="77777777" w:rsidR="006F34E3" w:rsidRPr="002E3B59" w:rsidRDefault="006F34E3" w:rsidP="006F34E3">
      <w:pPr>
        <w:autoSpaceDE w:val="0"/>
        <w:autoSpaceDN w:val="0"/>
        <w:adjustRightInd w:val="0"/>
        <w:spacing w:after="0" w:line="240" w:lineRule="auto"/>
        <w:rPr>
          <w:rFonts w:cstheme="minorHAnsi"/>
          <w:color w:val="000000"/>
        </w:rPr>
      </w:pPr>
    </w:p>
    <w:p w14:paraId="651D9829"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Career pathways identify the career opportunities in an industry, entry-level to advanced, and how an individual can grow his/her career in the industry. They are connected education and training programs that build upon one another to help a person enter and advance in his/her career in an industry.  Pathways are business-defined and business-driven and aligned to the skill needs of targeted industry sectors and are explicitly focused on helping people more easily and quickly enter and advance in their careers.  Key features of career pathways include:  </w:t>
      </w:r>
    </w:p>
    <w:p w14:paraId="3B6349D7" w14:textId="77777777" w:rsidR="006F34E3" w:rsidRPr="002E3B59" w:rsidRDefault="006F34E3" w:rsidP="006F34E3">
      <w:pPr>
        <w:numPr>
          <w:ilvl w:val="0"/>
          <w:numId w:val="4"/>
        </w:numPr>
        <w:autoSpaceDE w:val="0"/>
        <w:autoSpaceDN w:val="0"/>
        <w:adjustRightInd w:val="0"/>
        <w:spacing w:after="0" w:line="240" w:lineRule="auto"/>
        <w:rPr>
          <w:rFonts w:cstheme="minorHAnsi"/>
          <w:color w:val="000000"/>
        </w:rPr>
      </w:pPr>
      <w:r w:rsidRPr="002E3B59">
        <w:rPr>
          <w:rFonts w:cstheme="minorHAnsi"/>
          <w:color w:val="000000"/>
        </w:rPr>
        <w:t>They connect and articulate the full range of K-12, adult education, post-secondary, and other education and training, with seamless transitions between “levels” and no “dead ends.” </w:t>
      </w:r>
    </w:p>
    <w:p w14:paraId="6B149AFD" w14:textId="77777777" w:rsidR="006F34E3" w:rsidRPr="002E3B59" w:rsidRDefault="006F34E3" w:rsidP="006F34E3">
      <w:pPr>
        <w:numPr>
          <w:ilvl w:val="0"/>
          <w:numId w:val="4"/>
        </w:numPr>
        <w:autoSpaceDE w:val="0"/>
        <w:autoSpaceDN w:val="0"/>
        <w:adjustRightInd w:val="0"/>
        <w:spacing w:after="0" w:line="240" w:lineRule="auto"/>
        <w:ind w:left="720"/>
        <w:rPr>
          <w:rFonts w:cstheme="minorHAnsi"/>
          <w:color w:val="000000"/>
        </w:rPr>
      </w:pPr>
      <w:r w:rsidRPr="002E3B59">
        <w:rPr>
          <w:rFonts w:cstheme="minorHAnsi"/>
          <w:color w:val="000000"/>
        </w:rPr>
        <w:t>They have multiple on and off-ramps to make it easy for individuals to start, stop, and re-enter education and training. </w:t>
      </w:r>
    </w:p>
    <w:p w14:paraId="108ACC9B" w14:textId="77777777" w:rsidR="006F34E3" w:rsidRPr="002E3B59" w:rsidRDefault="006F34E3" w:rsidP="006F34E3">
      <w:pPr>
        <w:numPr>
          <w:ilvl w:val="0"/>
          <w:numId w:val="4"/>
        </w:numPr>
        <w:autoSpaceDE w:val="0"/>
        <w:autoSpaceDN w:val="0"/>
        <w:adjustRightInd w:val="0"/>
        <w:spacing w:after="0" w:line="240" w:lineRule="auto"/>
        <w:ind w:left="720"/>
        <w:rPr>
          <w:rFonts w:cstheme="minorHAnsi"/>
          <w:color w:val="000000"/>
        </w:rPr>
      </w:pPr>
      <w:r w:rsidRPr="002E3B59">
        <w:rPr>
          <w:rFonts w:cstheme="minorHAnsi"/>
          <w:color w:val="000000"/>
        </w:rPr>
        <w:t>They embed “stackable” industry-recognized credentials. </w:t>
      </w:r>
    </w:p>
    <w:p w14:paraId="37D810FA" w14:textId="77777777" w:rsidR="006F34E3" w:rsidRPr="002E3B59" w:rsidRDefault="006F34E3" w:rsidP="006F34E3">
      <w:pPr>
        <w:numPr>
          <w:ilvl w:val="0"/>
          <w:numId w:val="4"/>
        </w:numPr>
        <w:autoSpaceDE w:val="0"/>
        <w:autoSpaceDN w:val="0"/>
        <w:adjustRightInd w:val="0"/>
        <w:spacing w:after="0" w:line="240" w:lineRule="auto"/>
        <w:ind w:left="720"/>
        <w:rPr>
          <w:rFonts w:cstheme="minorHAnsi"/>
          <w:color w:val="000000"/>
        </w:rPr>
      </w:pPr>
      <w:r w:rsidRPr="002E3B59">
        <w:rPr>
          <w:rFonts w:cstheme="minorHAnsi"/>
          <w:color w:val="000000"/>
        </w:rPr>
        <w:t>They make work a central context for learning, through on-the-job training, Registered Apprenticeship, work-based internships and mentorships, and other avenues.  </w:t>
      </w:r>
    </w:p>
    <w:p w14:paraId="77102946" w14:textId="77777777" w:rsidR="006F34E3" w:rsidRPr="002E3B59" w:rsidRDefault="006F34E3" w:rsidP="006F34E3">
      <w:pPr>
        <w:numPr>
          <w:ilvl w:val="0"/>
          <w:numId w:val="4"/>
        </w:numPr>
        <w:autoSpaceDE w:val="0"/>
        <w:autoSpaceDN w:val="0"/>
        <w:adjustRightInd w:val="0"/>
        <w:spacing w:after="0" w:line="240" w:lineRule="auto"/>
        <w:ind w:left="720"/>
        <w:rPr>
          <w:rFonts w:cstheme="minorHAnsi"/>
          <w:color w:val="000000"/>
        </w:rPr>
      </w:pPr>
      <w:r w:rsidRPr="002E3B59">
        <w:rPr>
          <w:rFonts w:cstheme="minorHAnsi"/>
          <w:color w:val="000000"/>
        </w:rPr>
        <w:t>They accelerate educational and career advancement through assessment of prior learning and experience, integrated “basic” education and technical training, and other strategies. </w:t>
      </w:r>
    </w:p>
    <w:p w14:paraId="420C5632" w14:textId="77777777" w:rsidR="006F34E3" w:rsidRPr="002E3B59" w:rsidRDefault="006F34E3" w:rsidP="006F34E3">
      <w:pPr>
        <w:numPr>
          <w:ilvl w:val="0"/>
          <w:numId w:val="4"/>
        </w:numPr>
        <w:autoSpaceDE w:val="0"/>
        <w:autoSpaceDN w:val="0"/>
        <w:adjustRightInd w:val="0"/>
        <w:spacing w:after="0" w:line="240" w:lineRule="auto"/>
        <w:ind w:left="720"/>
        <w:rPr>
          <w:rFonts w:cstheme="minorHAnsi"/>
          <w:color w:val="000000"/>
        </w:rPr>
      </w:pPr>
      <w:r w:rsidRPr="002E3B59">
        <w:rPr>
          <w:rFonts w:cstheme="minorHAnsi"/>
          <w:color w:val="000000"/>
        </w:rPr>
        <w:t>They provide integrated supports like coaching and advising and services like childcare and transportation assistance, especially at education and career transition points. </w:t>
      </w:r>
    </w:p>
    <w:p w14:paraId="6E538810" w14:textId="77777777" w:rsidR="006F34E3" w:rsidRPr="002E3B59" w:rsidRDefault="006F34E3" w:rsidP="006F34E3">
      <w:pPr>
        <w:autoSpaceDE w:val="0"/>
        <w:autoSpaceDN w:val="0"/>
        <w:adjustRightInd w:val="0"/>
        <w:spacing w:after="0" w:line="240" w:lineRule="auto"/>
        <w:rPr>
          <w:rFonts w:cstheme="minorHAnsi"/>
          <w:color w:val="000000"/>
        </w:rPr>
      </w:pPr>
    </w:p>
    <w:p w14:paraId="1597CE18" w14:textId="77777777" w:rsidR="006F34E3" w:rsidRPr="002E3B59" w:rsidRDefault="006F34E3" w:rsidP="006F34E3">
      <w:pPr>
        <w:autoSpaceDE w:val="0"/>
        <w:autoSpaceDN w:val="0"/>
        <w:adjustRightInd w:val="0"/>
        <w:spacing w:after="0" w:line="240" w:lineRule="auto"/>
        <w:rPr>
          <w:rFonts w:cstheme="minorHAnsi"/>
        </w:rPr>
      </w:pPr>
    </w:p>
    <w:p w14:paraId="3F09677F" w14:textId="7BCA20FE" w:rsidR="006F34E3" w:rsidRPr="002E3B59" w:rsidRDefault="006F34E3" w:rsidP="006F34E3">
      <w:pPr>
        <w:spacing w:line="360" w:lineRule="auto"/>
        <w:rPr>
          <w:rFonts w:cstheme="minorHAnsi"/>
        </w:rPr>
      </w:pPr>
    </w:p>
    <w:p w14:paraId="78200583" w14:textId="77F0259B" w:rsidR="006F34E3" w:rsidRPr="002E3B59" w:rsidRDefault="006F34E3" w:rsidP="006F34E3">
      <w:pPr>
        <w:rPr>
          <w:rFonts w:cstheme="minorHAnsi"/>
        </w:rPr>
      </w:pPr>
      <w:r w:rsidRPr="002E3B59">
        <w:rPr>
          <w:rFonts w:cstheme="minorHAnsi"/>
        </w:rPr>
        <w:t>Slide 19</w:t>
      </w:r>
    </w:p>
    <w:p w14:paraId="658C93DE"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Local boards must also consider how services are operationalized in the local workforce system to achieve the Board’s vision and goals.  Operations should always be customer centric or focused and the needs of the job seeker and business customer at the heart of service design, overall.  This slide lays out key elements of operational design that the local board makes decisions around including:</w:t>
      </w:r>
    </w:p>
    <w:p w14:paraId="5D1193F2"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The number of American Job Centers in the local area</w:t>
      </w:r>
    </w:p>
    <w:p w14:paraId="0665A520"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Co-location of partners within those centers</w:t>
      </w:r>
    </w:p>
    <w:p w14:paraId="047C79EC"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Requirements and expectations around service integration across partners</w:t>
      </w:r>
    </w:p>
    <w:p w14:paraId="365DF62D"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 xml:space="preserve">The ease of movement or flow of customers from one service to another until they achieve a successful outcome, and </w:t>
      </w:r>
    </w:p>
    <w:p w14:paraId="4DB9F2F7"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The functional alignment of staff which makes it easier for staff to integrate and customers to navigate services across programs.</w:t>
      </w:r>
    </w:p>
    <w:p w14:paraId="71AAC6AB" w14:textId="77777777" w:rsidR="006F34E3" w:rsidRPr="002E3B59" w:rsidRDefault="006F34E3" w:rsidP="006F34E3">
      <w:pPr>
        <w:autoSpaceDE w:val="0"/>
        <w:autoSpaceDN w:val="0"/>
        <w:adjustRightInd w:val="0"/>
        <w:spacing w:after="0" w:line="240" w:lineRule="auto"/>
        <w:rPr>
          <w:rFonts w:cstheme="minorHAnsi"/>
        </w:rPr>
      </w:pPr>
    </w:p>
    <w:p w14:paraId="3EE311F8" w14:textId="67E947C0" w:rsidR="006F34E3" w:rsidRPr="002E3B59" w:rsidRDefault="006F34E3">
      <w:pPr>
        <w:rPr>
          <w:rFonts w:cstheme="minorHAnsi"/>
        </w:rPr>
      </w:pPr>
    </w:p>
    <w:p w14:paraId="1B4FB640" w14:textId="56C9D263" w:rsidR="006F34E3" w:rsidRPr="002E3B59" w:rsidRDefault="006F34E3" w:rsidP="006F34E3">
      <w:pPr>
        <w:spacing w:line="360" w:lineRule="auto"/>
        <w:rPr>
          <w:rFonts w:cstheme="minorHAnsi"/>
        </w:rPr>
      </w:pPr>
      <w:r w:rsidRPr="002E3B59">
        <w:rPr>
          <w:rFonts w:cstheme="minorHAnsi"/>
        </w:rPr>
        <w:t>Slide 20</w:t>
      </w:r>
    </w:p>
    <w:p w14:paraId="19E91357"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 xml:space="preserve">As previously noted, the vision, goals, and strategic and operational design are outlined in the local workforce development plan which is required to be submitted by each local workforce development area to the state workforce agency every four years and updated every two years. </w:t>
      </w:r>
    </w:p>
    <w:p w14:paraId="1D97C1E8"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p>
    <w:p w14:paraId="61F697D4"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The plan outlines how the local workforce development board will ensure the core programs will:  </w:t>
      </w:r>
    </w:p>
    <w:p w14:paraId="4C2B82D8"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expand access to employment, training, education, and support services </w:t>
      </w:r>
    </w:p>
    <w:p w14:paraId="3C4788B6"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facilitate the development of career pathways and co-enrollment across programs </w:t>
      </w:r>
    </w:p>
    <w:p w14:paraId="1F548BB4"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improve access for individuals to obtain industry recognized post-secondary credentials which are portable and stackable, and </w:t>
      </w:r>
    </w:p>
    <w:p w14:paraId="09804D37" w14:textId="77777777" w:rsidR="006F34E3" w:rsidRPr="002E3B59" w:rsidRDefault="006F34E3" w:rsidP="006F34E3">
      <w:pPr>
        <w:numPr>
          <w:ilvl w:val="0"/>
          <w:numId w:val="1"/>
        </w:numPr>
        <w:autoSpaceDE w:val="0"/>
        <w:autoSpaceDN w:val="0"/>
        <w:adjustRightInd w:val="0"/>
        <w:spacing w:after="0" w:line="240" w:lineRule="auto"/>
        <w:ind w:left="270" w:hanging="270"/>
        <w:rPr>
          <w:rFonts w:cstheme="minorHAnsi"/>
          <w:color w:val="000000"/>
        </w:rPr>
      </w:pPr>
      <w:r w:rsidRPr="002E3B59">
        <w:rPr>
          <w:rFonts w:cstheme="minorHAnsi"/>
          <w:color w:val="000000"/>
        </w:rPr>
        <w:t>include strategies to ensure the local workforce system meets the needs of businesses in the local area and that businesses </w:t>
      </w:r>
      <w:proofErr w:type="gramStart"/>
      <w:r w:rsidRPr="002E3B59">
        <w:rPr>
          <w:rFonts w:cstheme="minorHAnsi"/>
          <w:color w:val="000000"/>
        </w:rPr>
        <w:t>have the opportunity to</w:t>
      </w:r>
      <w:proofErr w:type="gramEnd"/>
      <w:r w:rsidRPr="002E3B59">
        <w:rPr>
          <w:rFonts w:cstheme="minorHAnsi"/>
          <w:color w:val="000000"/>
        </w:rPr>
        <w:t xml:space="preserve"> engage with the system in meaningful ways. </w:t>
      </w:r>
    </w:p>
    <w:p w14:paraId="1A1EDBC6" w14:textId="77777777" w:rsidR="006F34E3" w:rsidRPr="002E3B59" w:rsidRDefault="006F34E3" w:rsidP="006F34E3">
      <w:pPr>
        <w:autoSpaceDE w:val="0"/>
        <w:autoSpaceDN w:val="0"/>
        <w:adjustRightInd w:val="0"/>
        <w:spacing w:after="0" w:line="240" w:lineRule="auto"/>
        <w:rPr>
          <w:rFonts w:cstheme="minorHAnsi"/>
        </w:rPr>
      </w:pPr>
    </w:p>
    <w:p w14:paraId="4C8ABD57" w14:textId="2CE1F586" w:rsidR="006F34E3" w:rsidRPr="002E3B59" w:rsidRDefault="006F34E3" w:rsidP="006F34E3">
      <w:pPr>
        <w:spacing w:line="360" w:lineRule="auto"/>
        <w:rPr>
          <w:rFonts w:cstheme="minorHAnsi"/>
        </w:rPr>
      </w:pPr>
    </w:p>
    <w:p w14:paraId="51E1E6E5" w14:textId="263CDF66" w:rsidR="006F34E3" w:rsidRPr="002E3B59" w:rsidRDefault="006F34E3" w:rsidP="006F34E3">
      <w:pPr>
        <w:spacing w:line="360" w:lineRule="auto"/>
        <w:rPr>
          <w:rFonts w:cstheme="minorHAnsi"/>
        </w:rPr>
      </w:pPr>
      <w:r w:rsidRPr="002E3B59">
        <w:rPr>
          <w:rFonts w:cstheme="minorHAnsi"/>
        </w:rPr>
        <w:t>Slide 21</w:t>
      </w:r>
    </w:p>
    <w:p w14:paraId="33A8B92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next role we’ll explore is that of local workforce boards as Managers.  Boards have four key tasks as Managers:</w:t>
      </w:r>
    </w:p>
    <w:p w14:paraId="6AD33068" w14:textId="77777777" w:rsidR="006F34E3" w:rsidRPr="002E3B59" w:rsidRDefault="006F34E3" w:rsidP="006F34E3">
      <w:pPr>
        <w:numPr>
          <w:ilvl w:val="0"/>
          <w:numId w:val="1"/>
        </w:numPr>
        <w:autoSpaceDE w:val="0"/>
        <w:autoSpaceDN w:val="0"/>
        <w:adjustRightInd w:val="0"/>
        <w:spacing w:after="0" w:line="240" w:lineRule="auto"/>
        <w:ind w:left="450" w:hanging="450"/>
        <w:rPr>
          <w:rFonts w:cstheme="minorHAnsi"/>
          <w:color w:val="000000"/>
        </w:rPr>
      </w:pPr>
      <w:r w:rsidRPr="002E3B59">
        <w:rPr>
          <w:rFonts w:cstheme="minorHAnsi"/>
          <w:color w:val="000000"/>
        </w:rPr>
        <w:t>Managing federal funds</w:t>
      </w:r>
    </w:p>
    <w:p w14:paraId="42F4E491" w14:textId="77777777" w:rsidR="006F34E3" w:rsidRPr="002E3B59" w:rsidRDefault="006F34E3" w:rsidP="006F34E3">
      <w:pPr>
        <w:numPr>
          <w:ilvl w:val="0"/>
          <w:numId w:val="1"/>
        </w:numPr>
        <w:autoSpaceDE w:val="0"/>
        <w:autoSpaceDN w:val="0"/>
        <w:adjustRightInd w:val="0"/>
        <w:spacing w:after="0" w:line="240" w:lineRule="auto"/>
        <w:ind w:left="450" w:hanging="450"/>
        <w:rPr>
          <w:rFonts w:cstheme="minorHAnsi"/>
          <w:color w:val="000000"/>
        </w:rPr>
      </w:pPr>
      <w:r w:rsidRPr="002E3B59">
        <w:rPr>
          <w:rFonts w:cstheme="minorHAnsi"/>
          <w:color w:val="000000"/>
        </w:rPr>
        <w:t>Establishing policies and procedures</w:t>
      </w:r>
    </w:p>
    <w:p w14:paraId="47F15FF9" w14:textId="77777777" w:rsidR="006F34E3" w:rsidRPr="002E3B59" w:rsidRDefault="006F34E3" w:rsidP="006F34E3">
      <w:pPr>
        <w:numPr>
          <w:ilvl w:val="0"/>
          <w:numId w:val="1"/>
        </w:numPr>
        <w:autoSpaceDE w:val="0"/>
        <w:autoSpaceDN w:val="0"/>
        <w:adjustRightInd w:val="0"/>
        <w:spacing w:after="0" w:line="240" w:lineRule="auto"/>
        <w:ind w:left="450" w:hanging="450"/>
        <w:rPr>
          <w:rFonts w:cstheme="minorHAnsi"/>
          <w:color w:val="000000"/>
        </w:rPr>
      </w:pPr>
      <w:r w:rsidRPr="002E3B59">
        <w:rPr>
          <w:rFonts w:cstheme="minorHAnsi"/>
          <w:color w:val="000000"/>
        </w:rPr>
        <w:t xml:space="preserve">Monitoring and oversight, and </w:t>
      </w:r>
    </w:p>
    <w:p w14:paraId="11FBB05F" w14:textId="77777777" w:rsidR="006F34E3" w:rsidRPr="002E3B59" w:rsidRDefault="006F34E3" w:rsidP="006F34E3">
      <w:pPr>
        <w:numPr>
          <w:ilvl w:val="0"/>
          <w:numId w:val="1"/>
        </w:numPr>
        <w:autoSpaceDE w:val="0"/>
        <w:autoSpaceDN w:val="0"/>
        <w:adjustRightInd w:val="0"/>
        <w:spacing w:after="0" w:line="240" w:lineRule="auto"/>
        <w:ind w:left="450" w:hanging="450"/>
        <w:rPr>
          <w:rFonts w:cstheme="minorHAnsi"/>
          <w:color w:val="000000"/>
        </w:rPr>
      </w:pPr>
      <w:r w:rsidRPr="002E3B59">
        <w:rPr>
          <w:rFonts w:cstheme="minorHAnsi"/>
          <w:color w:val="000000"/>
        </w:rPr>
        <w:t>Selecting service providers</w:t>
      </w:r>
    </w:p>
    <w:p w14:paraId="7FA9E8FA" w14:textId="77777777" w:rsidR="006F34E3" w:rsidRPr="002E3B59" w:rsidRDefault="006F34E3" w:rsidP="006F34E3">
      <w:pPr>
        <w:autoSpaceDE w:val="0"/>
        <w:autoSpaceDN w:val="0"/>
        <w:adjustRightInd w:val="0"/>
        <w:spacing w:after="0" w:line="240" w:lineRule="auto"/>
        <w:rPr>
          <w:rFonts w:cstheme="minorHAnsi"/>
        </w:rPr>
      </w:pPr>
    </w:p>
    <w:p w14:paraId="007D68B3" w14:textId="345BAF10" w:rsidR="006F34E3" w:rsidRPr="002E3B59" w:rsidRDefault="006F34E3" w:rsidP="006F34E3">
      <w:pPr>
        <w:spacing w:line="360" w:lineRule="auto"/>
        <w:rPr>
          <w:rFonts w:cstheme="minorHAnsi"/>
        </w:rPr>
      </w:pPr>
    </w:p>
    <w:p w14:paraId="6134BF4F" w14:textId="62D43939" w:rsidR="006F34E3" w:rsidRPr="002E3B59" w:rsidRDefault="006F34E3" w:rsidP="006F34E3">
      <w:pPr>
        <w:spacing w:line="360" w:lineRule="auto"/>
        <w:rPr>
          <w:rFonts w:cstheme="minorHAnsi"/>
        </w:rPr>
      </w:pPr>
      <w:r w:rsidRPr="002E3B59">
        <w:rPr>
          <w:rFonts w:cstheme="minorHAnsi"/>
        </w:rPr>
        <w:t>Slide 22</w:t>
      </w:r>
    </w:p>
    <w:p w14:paraId="3CF45A90"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Let’s start by looking at the local Board’s responsibility for managing the funds. </w:t>
      </w:r>
    </w:p>
    <w:p w14:paraId="05431E0F" w14:textId="77777777" w:rsidR="006F34E3" w:rsidRPr="002E3B59" w:rsidRDefault="006F34E3" w:rsidP="006F34E3">
      <w:pPr>
        <w:autoSpaceDE w:val="0"/>
        <w:autoSpaceDN w:val="0"/>
        <w:adjustRightInd w:val="0"/>
        <w:spacing w:after="0" w:line="240" w:lineRule="auto"/>
        <w:rPr>
          <w:rFonts w:cstheme="minorHAnsi"/>
          <w:color w:val="000000"/>
        </w:rPr>
      </w:pPr>
    </w:p>
    <w:p w14:paraId="7AE4CD7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The CEO serves as the grant sub-recipient; however, the law permits the CEO to designate a fiscal agent or grant sub-recipient to play this role.  If a fiscal agent is not designated, the CEO’s unit of government would fulfill the role. </w:t>
      </w:r>
    </w:p>
    <w:p w14:paraId="36AB018F" w14:textId="77777777" w:rsidR="006F34E3" w:rsidRPr="002E3B59" w:rsidRDefault="006F34E3" w:rsidP="006F34E3">
      <w:pPr>
        <w:autoSpaceDE w:val="0"/>
        <w:autoSpaceDN w:val="0"/>
        <w:adjustRightInd w:val="0"/>
        <w:spacing w:after="0" w:line="240" w:lineRule="auto"/>
        <w:rPr>
          <w:rFonts w:cstheme="minorHAnsi"/>
          <w:color w:val="000000"/>
        </w:rPr>
      </w:pPr>
    </w:p>
    <w:p w14:paraId="59678EC2"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As the grant sub-recipient, the CEO has responsibility for the funds and retains decision-making associated with those funds. The decision making is shared with the local workforce development board.</w:t>
      </w:r>
    </w:p>
    <w:p w14:paraId="74DC9113" w14:textId="77777777" w:rsidR="006F34E3" w:rsidRPr="002E3B59" w:rsidRDefault="006F34E3" w:rsidP="006F34E3">
      <w:pPr>
        <w:autoSpaceDE w:val="0"/>
        <w:autoSpaceDN w:val="0"/>
        <w:adjustRightInd w:val="0"/>
        <w:spacing w:after="0" w:line="240" w:lineRule="auto"/>
        <w:rPr>
          <w:rFonts w:cstheme="minorHAnsi"/>
          <w:color w:val="000000"/>
        </w:rPr>
      </w:pPr>
    </w:p>
    <w:p w14:paraId="53756F69" w14:textId="3105394C" w:rsidR="006F34E3" w:rsidRDefault="006F34E3" w:rsidP="002E3B59">
      <w:pPr>
        <w:autoSpaceDE w:val="0"/>
        <w:autoSpaceDN w:val="0"/>
        <w:adjustRightInd w:val="0"/>
        <w:spacing w:after="0" w:line="240" w:lineRule="auto"/>
        <w:rPr>
          <w:rFonts w:cstheme="minorHAnsi"/>
          <w:color w:val="000000"/>
        </w:rPr>
      </w:pPr>
      <w:r w:rsidRPr="002E3B59">
        <w:rPr>
          <w:rFonts w:cstheme="minorHAnsi"/>
          <w:color w:val="000000"/>
        </w:rPr>
        <w:t>20 CFR 679.420 (a)</w:t>
      </w:r>
    </w:p>
    <w:p w14:paraId="3073E962" w14:textId="69CD2718" w:rsidR="002E3B59" w:rsidRDefault="002E3B59" w:rsidP="002E3B59">
      <w:pPr>
        <w:autoSpaceDE w:val="0"/>
        <w:autoSpaceDN w:val="0"/>
        <w:adjustRightInd w:val="0"/>
        <w:spacing w:after="0" w:line="240" w:lineRule="auto"/>
        <w:rPr>
          <w:rFonts w:cstheme="minorHAnsi"/>
          <w:color w:val="000000"/>
        </w:rPr>
      </w:pPr>
    </w:p>
    <w:p w14:paraId="7E61C365" w14:textId="77777777" w:rsidR="002E3B59" w:rsidRPr="002E3B59" w:rsidRDefault="002E3B59" w:rsidP="002E3B59">
      <w:pPr>
        <w:autoSpaceDE w:val="0"/>
        <w:autoSpaceDN w:val="0"/>
        <w:adjustRightInd w:val="0"/>
        <w:spacing w:after="0" w:line="240" w:lineRule="auto"/>
        <w:rPr>
          <w:rFonts w:cstheme="minorHAnsi"/>
        </w:rPr>
      </w:pPr>
    </w:p>
    <w:p w14:paraId="3CEB47F4" w14:textId="5267A7B1" w:rsidR="006F34E3" w:rsidRPr="002E3B59" w:rsidRDefault="006F34E3" w:rsidP="006F34E3">
      <w:pPr>
        <w:spacing w:line="360" w:lineRule="auto"/>
        <w:rPr>
          <w:rFonts w:cstheme="minorHAnsi"/>
        </w:rPr>
      </w:pPr>
      <w:r w:rsidRPr="002E3B59">
        <w:rPr>
          <w:rFonts w:cstheme="minorHAnsi"/>
        </w:rPr>
        <w:t>Slide 23</w:t>
      </w:r>
    </w:p>
    <w:p w14:paraId="1C751A95" w14:textId="6C1447D0"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local board is responsible for developing a budget for the federal funding it receives.  This budget should support service delivery that meets the needs of customers in the local area.  Therefore, it should align with the local plan and outline the Infrastructure Funding Agreement as just noted.  Finally, this budget must be approved by the Chief Elected Official for the local area.</w:t>
      </w:r>
    </w:p>
    <w:p w14:paraId="6113E8FA" w14:textId="77777777" w:rsidR="006F34E3" w:rsidRPr="002E3B59" w:rsidRDefault="006F34E3" w:rsidP="006F34E3">
      <w:pPr>
        <w:autoSpaceDE w:val="0"/>
        <w:autoSpaceDN w:val="0"/>
        <w:adjustRightInd w:val="0"/>
        <w:spacing w:after="0" w:line="240" w:lineRule="auto"/>
        <w:rPr>
          <w:rFonts w:cstheme="minorHAnsi"/>
          <w:color w:val="000000"/>
        </w:rPr>
      </w:pPr>
    </w:p>
    <w:p w14:paraId="54A88184" w14:textId="77777777" w:rsidR="006F34E3" w:rsidRPr="002E3B59" w:rsidRDefault="006F34E3" w:rsidP="006F34E3">
      <w:pPr>
        <w:autoSpaceDE w:val="0"/>
        <w:autoSpaceDN w:val="0"/>
        <w:adjustRightInd w:val="0"/>
        <w:spacing w:after="0" w:line="240" w:lineRule="auto"/>
        <w:rPr>
          <w:rFonts w:cstheme="minorHAnsi"/>
        </w:rPr>
      </w:pPr>
    </w:p>
    <w:p w14:paraId="609A0C79" w14:textId="18A5E5F4" w:rsidR="006F34E3" w:rsidRPr="002E3B59" w:rsidRDefault="006F34E3" w:rsidP="006F34E3">
      <w:pPr>
        <w:spacing w:line="360" w:lineRule="auto"/>
        <w:rPr>
          <w:rFonts w:cstheme="minorHAnsi"/>
        </w:rPr>
      </w:pPr>
      <w:r w:rsidRPr="002E3B59">
        <w:rPr>
          <w:rFonts w:cstheme="minorHAnsi"/>
        </w:rPr>
        <w:t>Slide 24</w:t>
      </w:r>
    </w:p>
    <w:p w14:paraId="6CFB7BFA"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lastRenderedPageBreak/>
        <w:t xml:space="preserve">Local boards must also develop policies to ensure compliant and effective operation of WIOA and should also develop policies to have advance their strategic vision for the system.  These policies articulate expectations and guidance to local partners and providers to ensure both </w:t>
      </w:r>
      <w:proofErr w:type="gramStart"/>
      <w:r w:rsidRPr="002E3B59">
        <w:rPr>
          <w:rFonts w:cstheme="minorHAnsi"/>
          <w:color w:val="000000"/>
        </w:rPr>
        <w:t>compliance</w:t>
      </w:r>
      <w:proofErr w:type="gramEnd"/>
      <w:r w:rsidRPr="002E3B59">
        <w:rPr>
          <w:rFonts w:cstheme="minorHAnsi"/>
          <w:color w:val="000000"/>
        </w:rPr>
        <w:t>, both with WIOA and the local board’s priorities.</w:t>
      </w:r>
    </w:p>
    <w:p w14:paraId="06D01ADD" w14:textId="77777777" w:rsidR="006F34E3" w:rsidRPr="002E3B59" w:rsidRDefault="006F34E3" w:rsidP="006F34E3">
      <w:pPr>
        <w:autoSpaceDE w:val="0"/>
        <w:autoSpaceDN w:val="0"/>
        <w:adjustRightInd w:val="0"/>
        <w:spacing w:after="0" w:line="240" w:lineRule="auto"/>
        <w:rPr>
          <w:rFonts w:cstheme="minorHAnsi"/>
          <w:color w:val="000000"/>
        </w:rPr>
      </w:pPr>
    </w:p>
    <w:p w14:paraId="78A33945"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Examples of operational policies include:</w:t>
      </w:r>
    </w:p>
    <w:p w14:paraId="28D8F39E"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Adult and Dislocated Worker Eligibility</w:t>
      </w:r>
    </w:p>
    <w:p w14:paraId="2606CF70"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Co-Enrollment</w:t>
      </w:r>
    </w:p>
    <w:p w14:paraId="6E50C9C3"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Incumbent Worker Training</w:t>
      </w:r>
    </w:p>
    <w:p w14:paraId="2C592205"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Supportive Service Limits</w:t>
      </w:r>
    </w:p>
    <w:p w14:paraId="727AEE1C"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Individual Training Account Limits</w:t>
      </w:r>
    </w:p>
    <w:p w14:paraId="710D8F45"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Monitoring of sub recipients and Contractors</w:t>
      </w:r>
    </w:p>
    <w:p w14:paraId="303E47DF" w14:textId="77777777" w:rsidR="006F34E3" w:rsidRPr="002E3B59" w:rsidRDefault="006F34E3" w:rsidP="006F34E3">
      <w:pPr>
        <w:autoSpaceDE w:val="0"/>
        <w:autoSpaceDN w:val="0"/>
        <w:adjustRightInd w:val="0"/>
        <w:spacing w:after="0" w:line="240" w:lineRule="auto"/>
        <w:rPr>
          <w:rFonts w:cstheme="minorHAnsi"/>
          <w:color w:val="000000"/>
        </w:rPr>
      </w:pPr>
    </w:p>
    <w:p w14:paraId="60580EF3" w14:textId="77777777"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Examples of strategic policies include:</w:t>
      </w:r>
    </w:p>
    <w:p w14:paraId="2D42716C"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Targeted Sectors</w:t>
      </w:r>
    </w:p>
    <w:p w14:paraId="6905FA59"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 xml:space="preserve">Initial Assessment </w:t>
      </w:r>
    </w:p>
    <w:p w14:paraId="2562186D"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One-Stop Operations</w:t>
      </w:r>
    </w:p>
    <w:p w14:paraId="3F4FDD3F"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Work-Based Learning</w:t>
      </w:r>
    </w:p>
    <w:p w14:paraId="75E796F2"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Integrated Business Services Team, and</w:t>
      </w:r>
    </w:p>
    <w:p w14:paraId="5096B2AE" w14:textId="77777777" w:rsidR="006F34E3" w:rsidRPr="002E3B59" w:rsidRDefault="006F34E3" w:rsidP="006F34E3">
      <w:pPr>
        <w:autoSpaceDE w:val="0"/>
        <w:autoSpaceDN w:val="0"/>
        <w:adjustRightInd w:val="0"/>
        <w:spacing w:after="0" w:line="240" w:lineRule="auto"/>
        <w:ind w:left="720"/>
        <w:rPr>
          <w:rFonts w:cstheme="minorHAnsi"/>
          <w:color w:val="000000"/>
        </w:rPr>
      </w:pPr>
      <w:r w:rsidRPr="002E3B59">
        <w:rPr>
          <w:rFonts w:cstheme="minorHAnsi"/>
          <w:color w:val="000000"/>
        </w:rPr>
        <w:t>Data Sharing across partners</w:t>
      </w:r>
    </w:p>
    <w:p w14:paraId="6421DD61" w14:textId="53DDA6BF" w:rsidR="006F34E3" w:rsidRPr="002E3B59" w:rsidRDefault="006F34E3">
      <w:pPr>
        <w:rPr>
          <w:rFonts w:cstheme="minorHAnsi"/>
        </w:rPr>
      </w:pPr>
    </w:p>
    <w:p w14:paraId="078E0044" w14:textId="1F6102DC" w:rsidR="006F34E3" w:rsidRPr="002E3B59" w:rsidRDefault="006F34E3" w:rsidP="006F34E3">
      <w:pPr>
        <w:spacing w:line="360" w:lineRule="auto"/>
        <w:rPr>
          <w:rFonts w:cstheme="minorHAnsi"/>
        </w:rPr>
      </w:pPr>
      <w:r w:rsidRPr="002E3B59">
        <w:rPr>
          <w:rFonts w:cstheme="minorHAnsi"/>
        </w:rPr>
        <w:t>Slide 25</w:t>
      </w:r>
    </w:p>
    <w:p w14:paraId="2062E0C2" w14:textId="7C28521B"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 xml:space="preserve">Local Board may also </w:t>
      </w:r>
      <w:proofErr w:type="gramStart"/>
      <w:r w:rsidRPr="002E3B59">
        <w:rPr>
          <w:rFonts w:cstheme="minorHAnsi"/>
          <w:color w:val="000000"/>
        </w:rPr>
        <w:t>enter into</w:t>
      </w:r>
      <w:proofErr w:type="gramEnd"/>
      <w:r w:rsidRPr="002E3B59">
        <w:rPr>
          <w:rFonts w:cstheme="minorHAnsi"/>
          <w:color w:val="000000"/>
        </w:rPr>
        <w:t xml:space="preserve"> contracts to deliver services in the local system. The first is a contract with the one-stop operator who is responsible for coordinating service delivery across programs.  The second are service providers who may deliver W-I-O-A Title services through the Adult, Dislocated Worker, and Youth programs, and provide services such as case management, assessment, and job search assistance.  The Local Board may also enter into an agreement with an entity to serve as the fiscal agent, designated by the </w:t>
      </w:r>
      <w:proofErr w:type="gramStart"/>
      <w:r w:rsidRPr="002E3B59">
        <w:rPr>
          <w:rFonts w:cstheme="minorHAnsi"/>
          <w:color w:val="000000"/>
        </w:rPr>
        <w:t>CEO,  for</w:t>
      </w:r>
      <w:proofErr w:type="gramEnd"/>
      <w:r w:rsidRPr="002E3B59">
        <w:rPr>
          <w:rFonts w:cstheme="minorHAnsi"/>
          <w:color w:val="000000"/>
        </w:rPr>
        <w:t xml:space="preserve"> the federal funding; and finally, the LWDB may have staff to support its fulfillment of all of these key roles. Depending on the Board’s organizational structure, its fiscal agent may execute a contract to serve as the local board staff’s employer of record.</w:t>
      </w:r>
    </w:p>
    <w:p w14:paraId="31E2C23B" w14:textId="634224FA" w:rsidR="006F34E3" w:rsidRPr="002E3B59" w:rsidRDefault="006F34E3" w:rsidP="006F34E3">
      <w:pPr>
        <w:autoSpaceDE w:val="0"/>
        <w:autoSpaceDN w:val="0"/>
        <w:adjustRightInd w:val="0"/>
        <w:spacing w:after="0" w:line="240" w:lineRule="auto"/>
        <w:rPr>
          <w:rFonts w:cstheme="minorHAnsi"/>
          <w:color w:val="000000"/>
        </w:rPr>
      </w:pPr>
    </w:p>
    <w:p w14:paraId="7B9178F6" w14:textId="77777777" w:rsidR="006F34E3" w:rsidRPr="002E3B59" w:rsidRDefault="006F34E3" w:rsidP="006F34E3">
      <w:pPr>
        <w:autoSpaceDE w:val="0"/>
        <w:autoSpaceDN w:val="0"/>
        <w:adjustRightInd w:val="0"/>
        <w:spacing w:after="0" w:line="240" w:lineRule="auto"/>
        <w:rPr>
          <w:rFonts w:cstheme="minorHAnsi"/>
        </w:rPr>
      </w:pPr>
    </w:p>
    <w:p w14:paraId="3C0AB761" w14:textId="19FD452A" w:rsidR="006F34E3" w:rsidRPr="002E3B59" w:rsidRDefault="006F34E3" w:rsidP="006F34E3">
      <w:pPr>
        <w:spacing w:line="360" w:lineRule="auto"/>
        <w:rPr>
          <w:rFonts w:cstheme="minorHAnsi"/>
        </w:rPr>
      </w:pPr>
      <w:r w:rsidRPr="002E3B59">
        <w:rPr>
          <w:rFonts w:cstheme="minorHAnsi"/>
        </w:rPr>
        <w:t>Slide 26</w:t>
      </w:r>
    </w:p>
    <w:p w14:paraId="0ECDACDB" w14:textId="7E6BE755" w:rsidR="006F34E3" w:rsidRPr="002E3B59" w:rsidRDefault="006F34E3" w:rsidP="006F34E3">
      <w:pPr>
        <w:autoSpaceDE w:val="0"/>
        <w:autoSpaceDN w:val="0"/>
        <w:adjustRightInd w:val="0"/>
        <w:spacing w:after="0" w:line="240" w:lineRule="auto"/>
        <w:rPr>
          <w:rFonts w:cstheme="minorHAnsi"/>
          <w:color w:val="000000"/>
        </w:rPr>
      </w:pPr>
      <w:r w:rsidRPr="002E3B59">
        <w:rPr>
          <w:rFonts w:cstheme="minorHAnsi"/>
          <w:color w:val="000000"/>
        </w:rPr>
        <w:t>The fourth area of the local board’s role as manager is conducting oversight of the system and Title I (Adult, DW, and Youth) programs. To ensure the system is complying with required provisions and accomplishing the Board’s vision, it partners with the Chief Elected Official to provide oversight. That responsibility includes ensuring monitoring of programs, tracking performance/fiscal and other key data, reviewing contracts, etc. – essential steps to understanding and ensuring that services are both compliant and strategic.</w:t>
      </w:r>
    </w:p>
    <w:p w14:paraId="0C96AE14" w14:textId="0BA0F508" w:rsidR="006F34E3" w:rsidRPr="002E3B59" w:rsidRDefault="006F34E3" w:rsidP="006F34E3">
      <w:pPr>
        <w:autoSpaceDE w:val="0"/>
        <w:autoSpaceDN w:val="0"/>
        <w:adjustRightInd w:val="0"/>
        <w:spacing w:after="0" w:line="240" w:lineRule="auto"/>
        <w:rPr>
          <w:rFonts w:cstheme="minorHAnsi"/>
          <w:color w:val="000000"/>
        </w:rPr>
      </w:pPr>
    </w:p>
    <w:p w14:paraId="38E4FD7D" w14:textId="43DD661F" w:rsidR="006F34E3" w:rsidRPr="002E3B59" w:rsidRDefault="006F34E3" w:rsidP="006F34E3">
      <w:pPr>
        <w:autoSpaceDE w:val="0"/>
        <w:autoSpaceDN w:val="0"/>
        <w:adjustRightInd w:val="0"/>
        <w:spacing w:after="0" w:line="240" w:lineRule="auto"/>
        <w:rPr>
          <w:rFonts w:cstheme="minorHAnsi"/>
          <w:color w:val="000000"/>
        </w:rPr>
      </w:pPr>
    </w:p>
    <w:p w14:paraId="1FA39891" w14:textId="6220BC54" w:rsidR="006F34E3" w:rsidRPr="002E3B59" w:rsidRDefault="006F34E3" w:rsidP="006F34E3">
      <w:pPr>
        <w:autoSpaceDE w:val="0"/>
        <w:autoSpaceDN w:val="0"/>
        <w:adjustRightInd w:val="0"/>
        <w:spacing w:after="0" w:line="240" w:lineRule="auto"/>
        <w:rPr>
          <w:rFonts w:cstheme="minorHAnsi"/>
          <w:color w:val="000000"/>
        </w:rPr>
      </w:pPr>
    </w:p>
    <w:p w14:paraId="0AD884E6" w14:textId="54512FBA" w:rsidR="006F34E3" w:rsidRPr="002E3B59" w:rsidRDefault="006F34E3" w:rsidP="006F34E3">
      <w:pPr>
        <w:spacing w:line="360" w:lineRule="auto"/>
        <w:rPr>
          <w:rFonts w:cstheme="minorHAnsi"/>
        </w:rPr>
      </w:pPr>
      <w:r w:rsidRPr="002E3B59">
        <w:rPr>
          <w:rFonts w:cstheme="minorHAnsi"/>
        </w:rPr>
        <w:t>Slide 27</w:t>
      </w:r>
    </w:p>
    <w:p w14:paraId="20B835A9" w14:textId="77777777"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lastRenderedPageBreak/>
        <w:t xml:space="preserve">Now, let’s look at the Board’s role as optimizers through three key areas: One-Stop Certification, performance measurement and the Eligible Training Provider list. </w:t>
      </w:r>
    </w:p>
    <w:p w14:paraId="55EF5009" w14:textId="75455FA6" w:rsidR="006F34E3" w:rsidRPr="002E3B59" w:rsidRDefault="006F34E3" w:rsidP="006F34E3">
      <w:pPr>
        <w:autoSpaceDE w:val="0"/>
        <w:autoSpaceDN w:val="0"/>
        <w:adjustRightInd w:val="0"/>
        <w:spacing w:after="0" w:line="240" w:lineRule="auto"/>
        <w:rPr>
          <w:rFonts w:cstheme="minorHAnsi"/>
        </w:rPr>
      </w:pPr>
    </w:p>
    <w:p w14:paraId="184428F5" w14:textId="77777777" w:rsidR="002E3B59" w:rsidRPr="002E3B59" w:rsidRDefault="002E3B59" w:rsidP="006F34E3">
      <w:pPr>
        <w:spacing w:line="360" w:lineRule="auto"/>
        <w:rPr>
          <w:rFonts w:cstheme="minorHAnsi"/>
        </w:rPr>
      </w:pPr>
    </w:p>
    <w:p w14:paraId="347467FA" w14:textId="373F73A4" w:rsidR="006F34E3" w:rsidRPr="002E3B59" w:rsidRDefault="006F34E3" w:rsidP="006F34E3">
      <w:pPr>
        <w:spacing w:line="360" w:lineRule="auto"/>
        <w:rPr>
          <w:rFonts w:cstheme="minorHAnsi"/>
        </w:rPr>
      </w:pPr>
      <w:r w:rsidRPr="002E3B59">
        <w:rPr>
          <w:rFonts w:cstheme="minorHAnsi"/>
        </w:rPr>
        <w:t>Slide 28</w:t>
      </w:r>
    </w:p>
    <w:p w14:paraId="7D45576A" w14:textId="580AEAAA" w:rsidR="006F34E3" w:rsidRPr="002E3B59" w:rsidRDefault="006F34E3" w:rsidP="006F34E3">
      <w:pPr>
        <w:autoSpaceDE w:val="0"/>
        <w:autoSpaceDN w:val="0"/>
        <w:adjustRightInd w:val="0"/>
        <w:spacing w:after="0" w:line="240" w:lineRule="auto"/>
        <w:rPr>
          <w:rFonts w:cstheme="minorHAnsi"/>
        </w:rPr>
      </w:pPr>
      <w:r w:rsidRPr="002E3B59">
        <w:rPr>
          <w:rFonts w:eastAsia="Times New Roman" w:cstheme="minorHAnsi"/>
          <w:kern w:val="24"/>
        </w:rPr>
        <w:t xml:space="preserve">The Board performs the role of optimizer in several different ways. It seeks to make more resources available to benefit the workforce system by leveraging investments from other sources (e.g., partners, industries, local business, etc.). It seeks to obtain feedback from the stakeholders on how to improve system performance. It optimizes performance results by negotiating ambitious performance goals with </w:t>
      </w:r>
      <w:proofErr w:type="gramStart"/>
      <w:r w:rsidRPr="002E3B59">
        <w:rPr>
          <w:rFonts w:eastAsia="Times New Roman" w:cstheme="minorHAnsi"/>
          <w:kern w:val="24"/>
        </w:rPr>
        <w:t>all of</w:t>
      </w:r>
      <w:proofErr w:type="gramEnd"/>
      <w:r w:rsidRPr="002E3B59">
        <w:rPr>
          <w:rFonts w:eastAsia="Times New Roman" w:cstheme="minorHAnsi"/>
          <w:kern w:val="24"/>
        </w:rPr>
        <w:t xml:space="preserve"> the service providers. It continuously monitors performance results, analyzes performance variances, identifies remedial steps, and follows up on results obtained. The Board then uses the continuous improvement process to update its strategies and repeat the cycle again.</w:t>
      </w:r>
    </w:p>
    <w:p w14:paraId="31D63859" w14:textId="35D96F99" w:rsidR="006F34E3" w:rsidRPr="002E3B59" w:rsidRDefault="006F34E3">
      <w:pPr>
        <w:rPr>
          <w:rFonts w:cstheme="minorHAnsi"/>
        </w:rPr>
      </w:pPr>
    </w:p>
    <w:p w14:paraId="6612FF3C" w14:textId="1DB5762D" w:rsidR="006F34E3" w:rsidRPr="002E3B59" w:rsidRDefault="006F34E3" w:rsidP="006F34E3">
      <w:pPr>
        <w:spacing w:line="360" w:lineRule="auto"/>
        <w:rPr>
          <w:rFonts w:cstheme="minorHAnsi"/>
        </w:rPr>
      </w:pPr>
      <w:r w:rsidRPr="002E3B59">
        <w:rPr>
          <w:rFonts w:cstheme="minorHAnsi"/>
        </w:rPr>
        <w:t>Slide 29</w:t>
      </w:r>
    </w:p>
    <w:p w14:paraId="1E011F2E" w14:textId="77777777"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t>Certification of One-Stop Centers ensures there is a consistent level of service delivery quality to benefit customers across the system. State Boards, in consultation with local boards and local elected officials, use requirements and good data around strong practices to inform the development of criteria to use when determining if One-Stop Centers, otherwise known as American Job Centers, should be certified.</w:t>
      </w:r>
    </w:p>
    <w:p w14:paraId="2C15D6C4" w14:textId="77777777"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t>Criteria for certification must be updated every two years along with the State Plan. Local boards conduct the certification process for their own centers. Local Boards may also set criteria in addition to those required by the State Board.</w:t>
      </w:r>
    </w:p>
    <w:p w14:paraId="5CDCF9BD" w14:textId="77777777" w:rsidR="006F34E3" w:rsidRPr="002E3B59" w:rsidRDefault="006F34E3" w:rsidP="006F34E3">
      <w:pPr>
        <w:autoSpaceDE w:val="0"/>
        <w:autoSpaceDN w:val="0"/>
        <w:adjustRightInd w:val="0"/>
        <w:spacing w:after="0" w:line="240" w:lineRule="auto"/>
        <w:rPr>
          <w:rFonts w:cstheme="minorHAnsi"/>
          <w:kern w:val="24"/>
        </w:rPr>
      </w:pPr>
    </w:p>
    <w:p w14:paraId="2465AE04" w14:textId="77777777" w:rsidR="006F34E3" w:rsidRPr="002E3B59" w:rsidRDefault="006F34E3" w:rsidP="006F34E3">
      <w:pPr>
        <w:autoSpaceDE w:val="0"/>
        <w:autoSpaceDN w:val="0"/>
        <w:adjustRightInd w:val="0"/>
        <w:spacing w:after="0" w:line="240" w:lineRule="auto"/>
        <w:rPr>
          <w:rFonts w:cstheme="minorHAnsi"/>
        </w:rPr>
      </w:pPr>
    </w:p>
    <w:p w14:paraId="7E3426D1" w14:textId="7F01279C" w:rsidR="006F34E3" w:rsidRPr="002E3B59" w:rsidRDefault="006F34E3" w:rsidP="006F34E3">
      <w:pPr>
        <w:spacing w:line="360" w:lineRule="auto"/>
        <w:rPr>
          <w:rFonts w:cstheme="minorHAnsi"/>
        </w:rPr>
      </w:pPr>
      <w:r w:rsidRPr="002E3B59">
        <w:rPr>
          <w:rFonts w:cstheme="minorHAnsi"/>
        </w:rPr>
        <w:t>Slide 30</w:t>
      </w:r>
    </w:p>
    <w:p w14:paraId="534EDF7A" w14:textId="77777777"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t>Here are the factors that are addressed in one-stop certification criteria.  They are all intended to improve the customer experience and outcomes.</w:t>
      </w:r>
    </w:p>
    <w:p w14:paraId="13E02DB4" w14:textId="77777777" w:rsidR="006F34E3" w:rsidRPr="002E3B59" w:rsidRDefault="006F34E3" w:rsidP="006F34E3">
      <w:pPr>
        <w:autoSpaceDE w:val="0"/>
        <w:autoSpaceDN w:val="0"/>
        <w:adjustRightInd w:val="0"/>
        <w:spacing w:after="0" w:line="240" w:lineRule="auto"/>
        <w:rPr>
          <w:rFonts w:cstheme="minorHAnsi"/>
          <w:kern w:val="24"/>
        </w:rPr>
      </w:pPr>
    </w:p>
    <w:p w14:paraId="1A4618D3" w14:textId="77777777" w:rsidR="006F34E3" w:rsidRPr="002E3B59" w:rsidRDefault="006F34E3" w:rsidP="006F34E3">
      <w:pPr>
        <w:numPr>
          <w:ilvl w:val="0"/>
          <w:numId w:val="1"/>
        </w:numPr>
        <w:autoSpaceDE w:val="0"/>
        <w:autoSpaceDN w:val="0"/>
        <w:adjustRightInd w:val="0"/>
        <w:spacing w:after="0" w:line="240" w:lineRule="auto"/>
        <w:ind w:left="285" w:hanging="285"/>
        <w:rPr>
          <w:rFonts w:cstheme="minorHAnsi"/>
          <w:kern w:val="24"/>
        </w:rPr>
      </w:pPr>
      <w:r w:rsidRPr="002E3B59">
        <w:rPr>
          <w:rFonts w:cstheme="minorHAnsi"/>
          <w:kern w:val="24"/>
        </w:rPr>
        <w:t xml:space="preserve">Effectiveness – including customer satisfaction, integration of </w:t>
      </w:r>
      <w:proofErr w:type="gramStart"/>
      <w:r w:rsidRPr="002E3B59">
        <w:rPr>
          <w:rFonts w:cstheme="minorHAnsi"/>
          <w:kern w:val="24"/>
        </w:rPr>
        <w:t>services;</w:t>
      </w:r>
      <w:proofErr w:type="gramEnd"/>
    </w:p>
    <w:p w14:paraId="0E33269B" w14:textId="77777777" w:rsidR="006F34E3" w:rsidRPr="002E3B59" w:rsidRDefault="006F34E3" w:rsidP="006F34E3">
      <w:pPr>
        <w:numPr>
          <w:ilvl w:val="0"/>
          <w:numId w:val="1"/>
        </w:numPr>
        <w:autoSpaceDE w:val="0"/>
        <w:autoSpaceDN w:val="0"/>
        <w:adjustRightInd w:val="0"/>
        <w:spacing w:after="0" w:line="240" w:lineRule="auto"/>
        <w:ind w:left="285" w:hanging="285"/>
        <w:rPr>
          <w:rFonts w:cstheme="minorHAnsi"/>
          <w:kern w:val="24"/>
        </w:rPr>
      </w:pPr>
      <w:r w:rsidRPr="002E3B59">
        <w:rPr>
          <w:rFonts w:cstheme="minorHAnsi"/>
          <w:kern w:val="24"/>
        </w:rPr>
        <w:t xml:space="preserve">Accessibility – both physical and </w:t>
      </w:r>
      <w:proofErr w:type="gramStart"/>
      <w:r w:rsidRPr="002E3B59">
        <w:rPr>
          <w:rFonts w:cstheme="minorHAnsi"/>
          <w:kern w:val="24"/>
        </w:rPr>
        <w:t>programmatic;</w:t>
      </w:r>
      <w:proofErr w:type="gramEnd"/>
    </w:p>
    <w:p w14:paraId="5B5CB484" w14:textId="77777777" w:rsidR="006F34E3" w:rsidRPr="002E3B59" w:rsidRDefault="006F34E3" w:rsidP="006F34E3">
      <w:pPr>
        <w:numPr>
          <w:ilvl w:val="0"/>
          <w:numId w:val="1"/>
        </w:numPr>
        <w:autoSpaceDE w:val="0"/>
        <w:autoSpaceDN w:val="0"/>
        <w:adjustRightInd w:val="0"/>
        <w:spacing w:after="0" w:line="240" w:lineRule="auto"/>
        <w:ind w:left="285" w:hanging="285"/>
        <w:rPr>
          <w:rFonts w:cstheme="minorHAnsi"/>
          <w:kern w:val="24"/>
        </w:rPr>
      </w:pPr>
      <w:r w:rsidRPr="002E3B59">
        <w:rPr>
          <w:rFonts w:cstheme="minorHAnsi"/>
          <w:kern w:val="24"/>
        </w:rPr>
        <w:t>Continuous improvement – in other words, how does the center evaluate itself, measure progress and collect feedback?  How does it use that information to actively manage their performance to drive continuous improvement?</w:t>
      </w:r>
    </w:p>
    <w:p w14:paraId="0E860C3D" w14:textId="77777777" w:rsidR="006F34E3" w:rsidRPr="002E3B59" w:rsidRDefault="006F34E3" w:rsidP="006F34E3">
      <w:pPr>
        <w:numPr>
          <w:ilvl w:val="0"/>
          <w:numId w:val="1"/>
        </w:numPr>
        <w:autoSpaceDE w:val="0"/>
        <w:autoSpaceDN w:val="0"/>
        <w:adjustRightInd w:val="0"/>
        <w:spacing w:after="0" w:line="240" w:lineRule="auto"/>
        <w:ind w:left="285" w:hanging="285"/>
        <w:rPr>
          <w:rFonts w:cstheme="minorHAnsi"/>
          <w:kern w:val="24"/>
        </w:rPr>
      </w:pPr>
      <w:r w:rsidRPr="002E3B59">
        <w:rPr>
          <w:rFonts w:cstheme="minorHAnsi"/>
          <w:kern w:val="24"/>
        </w:rPr>
        <w:t>Partner coordination – alignment and integration are key principles of WIOA and demonstrating both efforts and outcomes in this area is essential</w:t>
      </w:r>
    </w:p>
    <w:p w14:paraId="4790434C" w14:textId="77777777" w:rsidR="006F34E3" w:rsidRPr="002E3B59" w:rsidRDefault="006F34E3" w:rsidP="006F34E3">
      <w:pPr>
        <w:numPr>
          <w:ilvl w:val="0"/>
          <w:numId w:val="1"/>
        </w:numPr>
        <w:autoSpaceDE w:val="0"/>
        <w:autoSpaceDN w:val="0"/>
        <w:adjustRightInd w:val="0"/>
        <w:spacing w:after="0" w:line="240" w:lineRule="auto"/>
        <w:ind w:left="285" w:hanging="285"/>
        <w:rPr>
          <w:rFonts w:cstheme="minorHAnsi"/>
          <w:kern w:val="24"/>
        </w:rPr>
      </w:pPr>
      <w:r w:rsidRPr="002E3B59">
        <w:rPr>
          <w:rFonts w:cstheme="minorHAnsi"/>
          <w:kern w:val="24"/>
        </w:rPr>
        <w:t>Equal opportunity for individuals with disabilities; and</w:t>
      </w:r>
    </w:p>
    <w:p w14:paraId="3945E201" w14:textId="7837F706" w:rsidR="006F34E3" w:rsidRPr="002E3B59" w:rsidRDefault="006F34E3" w:rsidP="003561ED">
      <w:pPr>
        <w:numPr>
          <w:ilvl w:val="0"/>
          <w:numId w:val="1"/>
        </w:numPr>
        <w:autoSpaceDE w:val="0"/>
        <w:autoSpaceDN w:val="0"/>
        <w:adjustRightInd w:val="0"/>
        <w:spacing w:after="0" w:line="240" w:lineRule="auto"/>
        <w:ind w:left="285" w:hanging="285"/>
        <w:rPr>
          <w:rFonts w:cstheme="minorHAnsi"/>
        </w:rPr>
      </w:pPr>
      <w:r w:rsidRPr="002E3B59">
        <w:rPr>
          <w:rFonts w:cstheme="minorHAnsi"/>
          <w:kern w:val="24"/>
        </w:rPr>
        <w:t>Performance – Each center should regularly review its performance and modify service design and delivery as needed.</w:t>
      </w:r>
    </w:p>
    <w:p w14:paraId="4844056F" w14:textId="48FC1029" w:rsidR="006F34E3" w:rsidRPr="002E3B59" w:rsidRDefault="006F34E3" w:rsidP="006F34E3">
      <w:pPr>
        <w:spacing w:line="360" w:lineRule="auto"/>
        <w:rPr>
          <w:rFonts w:cstheme="minorHAnsi"/>
        </w:rPr>
      </w:pPr>
    </w:p>
    <w:p w14:paraId="067C6373" w14:textId="0FFFB989" w:rsidR="006F34E3" w:rsidRPr="002E3B59" w:rsidRDefault="006F34E3" w:rsidP="002E3B59">
      <w:pPr>
        <w:rPr>
          <w:rFonts w:cstheme="minorHAnsi"/>
        </w:rPr>
      </w:pPr>
      <w:r w:rsidRPr="002E3B59">
        <w:rPr>
          <w:rFonts w:cstheme="minorHAnsi"/>
        </w:rPr>
        <w:t>Slide 31</w:t>
      </w:r>
    </w:p>
    <w:p w14:paraId="43941041" w14:textId="77777777"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t xml:space="preserve">Let’s talk further about performance. W-I-O-A performance measures are the way the US Department of Labor reports to Congress on how well the system is performing. Performance should be tracked and </w:t>
      </w:r>
      <w:r w:rsidRPr="002E3B59">
        <w:rPr>
          <w:rFonts w:cstheme="minorHAnsi"/>
          <w:kern w:val="24"/>
        </w:rPr>
        <w:lastRenderedPageBreak/>
        <w:t>reported to the local board at least quarterly. Failure to meet performance measures can result in intervention by the state agency and lead to decertification of a local workforce development board. Additionally, successful performance is a factor in the Governor’s decisions regarding designation of local workforce development areas.</w:t>
      </w:r>
    </w:p>
    <w:p w14:paraId="10AE1E1E" w14:textId="4792AF32" w:rsidR="006F34E3" w:rsidRPr="002E3B59" w:rsidRDefault="006F34E3">
      <w:pPr>
        <w:rPr>
          <w:rFonts w:cstheme="minorHAnsi"/>
        </w:rPr>
      </w:pPr>
    </w:p>
    <w:p w14:paraId="05C9FF3B" w14:textId="11EB115B" w:rsidR="006F34E3" w:rsidRPr="002E3B59" w:rsidRDefault="006F34E3" w:rsidP="006F34E3">
      <w:pPr>
        <w:spacing w:line="360" w:lineRule="auto"/>
        <w:rPr>
          <w:rFonts w:cstheme="minorHAnsi"/>
        </w:rPr>
      </w:pPr>
      <w:r w:rsidRPr="002E3B59">
        <w:rPr>
          <w:rFonts w:cstheme="minorHAnsi"/>
        </w:rPr>
        <w:t>Slide 32</w:t>
      </w:r>
    </w:p>
    <w:p w14:paraId="447ADBC2" w14:textId="77777777"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t>In its roles as Optimizer, the Board also assists in the administration and coordination of the Eligible Training Provider List, or ETPL, at the local level.  W-I-O-A mandates the development of an Eligible Training Provider List. The purpose of this list is to present a broad and diverse selection of quality training choices to support the employment goals of individuals. Customers are provided with key performance information such as program completion rates, and employment of graduates in the field, as well as cost information. Customers use Individual Training Accounts to access training offered by providers on the eligible training provider list.</w:t>
      </w:r>
    </w:p>
    <w:p w14:paraId="384D88BB" w14:textId="77777777" w:rsidR="006F34E3" w:rsidRPr="002E3B59" w:rsidRDefault="006F34E3" w:rsidP="006F34E3">
      <w:pPr>
        <w:autoSpaceDE w:val="0"/>
        <w:autoSpaceDN w:val="0"/>
        <w:adjustRightInd w:val="0"/>
        <w:spacing w:after="0" w:line="240" w:lineRule="auto"/>
        <w:rPr>
          <w:rFonts w:cstheme="minorHAnsi"/>
          <w:kern w:val="24"/>
        </w:rPr>
      </w:pPr>
    </w:p>
    <w:p w14:paraId="114A29F4" w14:textId="4FF563A6" w:rsidR="006F34E3" w:rsidRPr="002E3B59" w:rsidRDefault="006F34E3" w:rsidP="002E3B59">
      <w:pPr>
        <w:autoSpaceDE w:val="0"/>
        <w:autoSpaceDN w:val="0"/>
        <w:adjustRightInd w:val="0"/>
        <w:spacing w:after="0" w:line="240" w:lineRule="auto"/>
        <w:rPr>
          <w:rFonts w:cstheme="minorHAnsi"/>
          <w:kern w:val="24"/>
        </w:rPr>
      </w:pPr>
      <w:r w:rsidRPr="002E3B59">
        <w:rPr>
          <w:rFonts w:cstheme="minorHAnsi"/>
          <w:kern w:val="24"/>
        </w:rPr>
        <w:t xml:space="preserve">Through sub-grant awards, local boards also have the option to target work-based learning and training strategies such as on-the-job training opportunities for in-demand occupations driven by the local industry need. </w:t>
      </w:r>
    </w:p>
    <w:p w14:paraId="13FCBAAA" w14:textId="6191B9B0" w:rsidR="002E3B59" w:rsidRPr="002E3B59" w:rsidRDefault="002E3B59" w:rsidP="002E3B59">
      <w:pPr>
        <w:autoSpaceDE w:val="0"/>
        <w:autoSpaceDN w:val="0"/>
        <w:adjustRightInd w:val="0"/>
        <w:spacing w:after="0" w:line="240" w:lineRule="auto"/>
        <w:rPr>
          <w:rFonts w:cstheme="minorHAnsi"/>
          <w:kern w:val="24"/>
        </w:rPr>
      </w:pPr>
    </w:p>
    <w:p w14:paraId="2E8D7C0A" w14:textId="77777777" w:rsidR="002E3B59" w:rsidRPr="002E3B59" w:rsidRDefault="002E3B59" w:rsidP="002E3B59">
      <w:pPr>
        <w:autoSpaceDE w:val="0"/>
        <w:autoSpaceDN w:val="0"/>
        <w:adjustRightInd w:val="0"/>
        <w:spacing w:after="0" w:line="240" w:lineRule="auto"/>
        <w:rPr>
          <w:rFonts w:cstheme="minorHAnsi"/>
        </w:rPr>
      </w:pPr>
    </w:p>
    <w:p w14:paraId="3A73A8B2" w14:textId="74902F8B" w:rsidR="006F34E3" w:rsidRPr="002E3B59" w:rsidRDefault="006F34E3" w:rsidP="006F34E3">
      <w:pPr>
        <w:spacing w:line="360" w:lineRule="auto"/>
        <w:rPr>
          <w:rFonts w:cstheme="minorHAnsi"/>
        </w:rPr>
      </w:pPr>
      <w:r w:rsidRPr="002E3B59">
        <w:rPr>
          <w:rFonts w:cstheme="minorHAnsi"/>
        </w:rPr>
        <w:t>Slide 33</w:t>
      </w:r>
    </w:p>
    <w:p w14:paraId="690BDBB7" w14:textId="7910531F" w:rsidR="006F34E3" w:rsidRPr="002E3B59" w:rsidRDefault="006F34E3" w:rsidP="002E3B59">
      <w:pPr>
        <w:autoSpaceDE w:val="0"/>
        <w:autoSpaceDN w:val="0"/>
        <w:adjustRightInd w:val="0"/>
        <w:spacing w:after="0" w:line="240" w:lineRule="auto"/>
        <w:rPr>
          <w:rFonts w:eastAsia="Times New Roman" w:cstheme="minorHAnsi"/>
          <w:kern w:val="24"/>
        </w:rPr>
      </w:pPr>
      <w:r w:rsidRPr="002E3B59">
        <w:rPr>
          <w:rFonts w:eastAsia="Times New Roman" w:cstheme="minorHAnsi"/>
          <w:kern w:val="24"/>
        </w:rPr>
        <w:t>Boards optimize their local system’s effectiveness and outcomes by ensuring the needs of the job seeker and business customer are central to determining how to deliver services, what services will be delivered, and how partner programs will integrate to yield the best possible outcomes. Customer Centered Design is a problem-solving method or approach which involves the customer perspective in all steps of a problem-solving process. High impact boards use customer-centered design and other strategic tools to continuously improve their local workforce system.</w:t>
      </w:r>
    </w:p>
    <w:p w14:paraId="0251B218" w14:textId="1329F081" w:rsidR="002E3B59" w:rsidRPr="002E3B59" w:rsidRDefault="002E3B59" w:rsidP="002E3B59">
      <w:pPr>
        <w:autoSpaceDE w:val="0"/>
        <w:autoSpaceDN w:val="0"/>
        <w:adjustRightInd w:val="0"/>
        <w:spacing w:after="0" w:line="240" w:lineRule="auto"/>
        <w:rPr>
          <w:rFonts w:eastAsia="Times New Roman" w:cstheme="minorHAnsi"/>
          <w:kern w:val="24"/>
        </w:rPr>
      </w:pPr>
    </w:p>
    <w:p w14:paraId="4AFC37AB" w14:textId="77777777" w:rsidR="002E3B59" w:rsidRPr="002E3B59" w:rsidRDefault="002E3B59" w:rsidP="002E3B59">
      <w:pPr>
        <w:autoSpaceDE w:val="0"/>
        <w:autoSpaceDN w:val="0"/>
        <w:adjustRightInd w:val="0"/>
        <w:spacing w:after="0" w:line="240" w:lineRule="auto"/>
        <w:rPr>
          <w:rFonts w:cstheme="minorHAnsi"/>
        </w:rPr>
      </w:pPr>
    </w:p>
    <w:p w14:paraId="1ADCCDDA" w14:textId="6A25EAA7" w:rsidR="006F34E3" w:rsidRPr="002E3B59" w:rsidRDefault="006F34E3" w:rsidP="002E3B59">
      <w:pPr>
        <w:spacing w:line="360" w:lineRule="auto"/>
        <w:rPr>
          <w:rFonts w:cstheme="minorHAnsi"/>
        </w:rPr>
      </w:pPr>
      <w:r w:rsidRPr="002E3B59">
        <w:rPr>
          <w:rFonts w:cstheme="minorHAnsi"/>
        </w:rPr>
        <w:t>Slide 34</w:t>
      </w:r>
    </w:p>
    <w:p w14:paraId="13561A32" w14:textId="7DB5483A" w:rsidR="006F34E3" w:rsidRPr="002E3B59" w:rsidRDefault="006F34E3" w:rsidP="006F34E3">
      <w:pPr>
        <w:autoSpaceDE w:val="0"/>
        <w:autoSpaceDN w:val="0"/>
        <w:adjustRightInd w:val="0"/>
        <w:spacing w:after="0" w:line="240" w:lineRule="auto"/>
        <w:rPr>
          <w:rFonts w:cstheme="minorHAnsi"/>
          <w:kern w:val="24"/>
        </w:rPr>
      </w:pPr>
      <w:r w:rsidRPr="002E3B59">
        <w:rPr>
          <w:rFonts w:cstheme="minorHAnsi"/>
          <w:kern w:val="24"/>
        </w:rPr>
        <w:t xml:space="preserve">You have now </w:t>
      </w:r>
      <w:r w:rsidRPr="002E3B59">
        <w:rPr>
          <w:rFonts w:cstheme="minorHAnsi"/>
          <w:color w:val="000000"/>
          <w:kern w:val="24"/>
        </w:rPr>
        <w:t>e</w:t>
      </w:r>
      <w:r w:rsidRPr="002E3B59">
        <w:rPr>
          <w:rFonts w:cstheme="minorHAnsi"/>
          <w:kern w:val="24"/>
        </w:rPr>
        <w:t>xplored the Workforce Innovation and Opportunity Act’s vision for local workforce development boards, and identified the roles and responsibilities laid out in the Act. We hope you have also gained understanding of how the local board interacts with other stakeholders in the public workforce system.</w:t>
      </w:r>
    </w:p>
    <w:p w14:paraId="4448D349" w14:textId="6937BA31" w:rsidR="006F34E3" w:rsidRPr="002E3B59" w:rsidRDefault="006F34E3" w:rsidP="006F34E3">
      <w:pPr>
        <w:spacing w:line="360" w:lineRule="auto"/>
        <w:rPr>
          <w:rFonts w:cstheme="minorHAnsi"/>
        </w:rPr>
      </w:pPr>
    </w:p>
    <w:p w14:paraId="4D01DAD6" w14:textId="3147368E" w:rsidR="006F34E3" w:rsidRPr="002E3B59" w:rsidRDefault="002E3B59" w:rsidP="002E3B59">
      <w:pPr>
        <w:rPr>
          <w:rFonts w:cstheme="minorHAnsi"/>
        </w:rPr>
      </w:pPr>
      <w:r w:rsidRPr="002E3B59">
        <w:rPr>
          <w:rFonts w:cstheme="minorHAnsi"/>
        </w:rPr>
        <w:t>S</w:t>
      </w:r>
      <w:r w:rsidR="006F34E3" w:rsidRPr="002E3B59">
        <w:rPr>
          <w:rFonts w:cstheme="minorHAnsi"/>
        </w:rPr>
        <w:t>lide 35</w:t>
      </w:r>
    </w:p>
    <w:p w14:paraId="0EDEC859" w14:textId="0363B804" w:rsidR="006F34E3" w:rsidRPr="002E3B59" w:rsidRDefault="006F34E3" w:rsidP="002E3B59">
      <w:pPr>
        <w:autoSpaceDE w:val="0"/>
        <w:autoSpaceDN w:val="0"/>
        <w:adjustRightInd w:val="0"/>
        <w:spacing w:after="0" w:line="240" w:lineRule="auto"/>
        <w:rPr>
          <w:rFonts w:cstheme="minorHAnsi"/>
          <w:kern w:val="24"/>
        </w:rPr>
      </w:pPr>
      <w:r w:rsidRPr="002E3B59">
        <w:rPr>
          <w:rFonts w:cstheme="minorHAnsi"/>
          <w:kern w:val="24"/>
        </w:rPr>
        <w:t xml:space="preserve">Thank you for viewing this training on module on Local Workforce Development Board roles and responsibilities. </w:t>
      </w:r>
    </w:p>
    <w:sectPr w:rsidR="006F34E3" w:rsidRPr="002E3B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960BCA"/>
    <w:lvl w:ilvl="0">
      <w:numFmt w:val="bullet"/>
      <w:lvlText w:val="*"/>
      <w:lvlJc w:val="left"/>
    </w:lvl>
  </w:abstractNum>
  <w:num w:numId="1">
    <w:abstractNumId w:val="0"/>
    <w:lvlOverride w:ilvl="0">
      <w:lvl w:ilvl="0">
        <w:numFmt w:val="bullet"/>
        <w:lvlText w:val="•"/>
        <w:legacy w:legacy="1" w:legacySpace="0" w:legacyIndent="0"/>
        <w:lvlJc w:val="left"/>
        <w:rPr>
          <w:rFonts w:ascii="Arial" w:hAnsi="Arial" w:cs="Arial" w:hint="default"/>
          <w:sz w:val="24"/>
        </w:rPr>
      </w:lvl>
    </w:lvlOverride>
  </w:num>
  <w:num w:numId="2">
    <w:abstractNumId w:val="0"/>
    <w:lvlOverride w:ilvl="0">
      <w:lvl w:ilvl="0">
        <w:numFmt w:val="bullet"/>
        <w:lvlText w:val="•"/>
        <w:legacy w:legacy="1" w:legacySpace="0" w:legacyIndent="0"/>
        <w:lvlJc w:val="left"/>
        <w:rPr>
          <w:rFonts w:ascii="Arial" w:hAnsi="Arial" w:cs="Arial" w:hint="default"/>
          <w:sz w:val="16"/>
        </w:rPr>
      </w:lvl>
    </w:lvlOverride>
  </w:num>
  <w:num w:numId="3">
    <w:abstractNumId w:val="0"/>
    <w:lvlOverride w:ilvl="0">
      <w:lvl w:ilvl="0">
        <w:numFmt w:val="bullet"/>
        <w:lvlText w:val="•"/>
        <w:legacy w:legacy="1" w:legacySpace="0" w:legacyIndent="0"/>
        <w:lvlJc w:val="left"/>
        <w:rPr>
          <w:rFonts w:ascii="Calibri" w:hAnsi="Calibri" w:cs="Calibri" w:hint="default"/>
          <w:sz w:val="24"/>
        </w:rPr>
      </w:lvl>
    </w:lvlOverride>
  </w:num>
  <w:num w:numId="4">
    <w:abstractNumId w:val="0"/>
    <w:lvlOverride w:ilvl="0">
      <w:lvl w:ilvl="0">
        <w:numFmt w:val="bullet"/>
        <w:lvlText w:val="•"/>
        <w:legacy w:legacy="1" w:legacySpace="0" w:legacyIndent="0"/>
        <w:lvlJc w:val="left"/>
        <w:rPr>
          <w:rFonts w:ascii="Arial" w:hAnsi="Arial" w:cs="Arial" w:hint="default"/>
          <w:sz w:val="1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4E3"/>
    <w:rsid w:val="002E3B59"/>
    <w:rsid w:val="006F3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0917E"/>
  <w15:chartTrackingRefBased/>
  <w15:docId w15:val="{A2ADAAF0-FF94-4BDE-A681-2C847B201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98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11</Pages>
  <Words>4035</Words>
  <Characters>23006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Casertano, Laura</dc:creator>
  <cp:keywords/>
  <dc:description/>
  <cp:lastModifiedBy>Casertano, Laura</cp:lastModifiedBy>
  <cp:revision>1</cp:revision>
  <dcterms:created xsi:type="dcterms:W3CDTF">2022-06-23T19:27:00Z</dcterms:created>
  <dcterms:modified xsi:type="dcterms:W3CDTF">2022-06-23T19:42:00Z</dcterms:modified>
</cp:coreProperties>
</file>