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182E94" w14:textId="77777777" w:rsidR="00F9748A" w:rsidRDefault="00F9748A" w:rsidP="00F9748A">
      <w:pPr>
        <w:spacing w:line="360" w:lineRule="auto"/>
        <w:rPr>
          <w:b/>
          <w:bCs/>
        </w:rPr>
      </w:pPr>
      <w:r>
        <w:t xml:space="preserve">Webcast: </w:t>
      </w:r>
      <w:r w:rsidRPr="00F9748A">
        <w:rPr>
          <w:b/>
          <w:bCs/>
        </w:rPr>
        <w:t>Appointing the Local Workforce Development Board</w:t>
      </w:r>
    </w:p>
    <w:p w14:paraId="35EC0619" w14:textId="1C27BA06" w:rsidR="00F9748A" w:rsidRPr="00F9748A" w:rsidRDefault="00F9748A" w:rsidP="00F9748A">
      <w:pPr>
        <w:spacing w:line="360" w:lineRule="auto"/>
        <w:rPr>
          <w:b/>
          <w:bCs/>
        </w:rPr>
      </w:pPr>
      <w:r w:rsidRPr="00F9748A">
        <w:rPr>
          <w:b/>
          <w:bCs/>
        </w:rPr>
        <w:t>Slide 1</w:t>
      </w:r>
    </w:p>
    <w:p w14:paraId="5202D2D5" w14:textId="6D7301DE"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W</w:t>
      </w:r>
      <w:r>
        <w:rPr>
          <w:rFonts w:ascii="Calibri" w:hAnsi="Calibri" w:cs="Calibri"/>
          <w:color w:val="000000"/>
          <w:kern w:val="24"/>
          <w:sz w:val="24"/>
          <w:szCs w:val="24"/>
        </w:rPr>
        <w:t xml:space="preserve">elcome to the module, Appointing the Local Workforce Development Board. This module is part of the </w:t>
      </w:r>
      <w:r>
        <w:rPr>
          <w:rFonts w:ascii="Calibri" w:hAnsi="Calibri" w:cs="Calibri"/>
          <w:b/>
          <w:bCs/>
          <w:color w:val="000000"/>
          <w:kern w:val="24"/>
          <w:sz w:val="24"/>
          <w:szCs w:val="24"/>
        </w:rPr>
        <w:t xml:space="preserve">WIOA Governance training series </w:t>
      </w:r>
      <w:r>
        <w:rPr>
          <w:rFonts w:ascii="Calibri" w:hAnsi="Calibri" w:cs="Calibri"/>
          <w:color w:val="000000"/>
          <w:kern w:val="24"/>
          <w:sz w:val="24"/>
          <w:szCs w:val="24"/>
        </w:rPr>
        <w:t>and will cover the Chief Elected Officials role in establishing a local workforce development board.</w:t>
      </w:r>
    </w:p>
    <w:p w14:paraId="701B8B38" w14:textId="77777777" w:rsidR="00F9748A" w:rsidRDefault="00F9748A" w:rsidP="00F9748A">
      <w:pPr>
        <w:autoSpaceDE w:val="0"/>
        <w:autoSpaceDN w:val="0"/>
        <w:adjustRightInd w:val="0"/>
        <w:spacing w:after="0" w:line="240" w:lineRule="auto"/>
      </w:pPr>
    </w:p>
    <w:p w14:paraId="49476CF4" w14:textId="27C443B2" w:rsidR="00F9748A" w:rsidRPr="00F9748A" w:rsidRDefault="00F9748A" w:rsidP="00F9748A">
      <w:pPr>
        <w:spacing w:line="360" w:lineRule="auto"/>
        <w:rPr>
          <w:b/>
          <w:bCs/>
        </w:rPr>
      </w:pPr>
      <w:r w:rsidRPr="00F9748A">
        <w:rPr>
          <w:b/>
          <w:bCs/>
        </w:rPr>
        <w:t>Slide 2</w:t>
      </w:r>
    </w:p>
    <w:p w14:paraId="7FD656B1" w14:textId="27C775D0"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This module is part of a series of modules related to the governance structure of the public workforce system. As we move through this series, we will be touching on the various entities that make up the public workforce system as well as their roles and responsibilities.</w:t>
      </w:r>
    </w:p>
    <w:p w14:paraId="29FF8176" w14:textId="77777777" w:rsidR="00F9748A" w:rsidRDefault="00F9748A" w:rsidP="00F9748A">
      <w:pPr>
        <w:autoSpaceDE w:val="0"/>
        <w:autoSpaceDN w:val="0"/>
        <w:adjustRightInd w:val="0"/>
        <w:spacing w:after="0" w:line="240" w:lineRule="auto"/>
      </w:pPr>
    </w:p>
    <w:p w14:paraId="1D6977B7" w14:textId="2A58E291" w:rsidR="00F9748A" w:rsidRPr="00F9748A" w:rsidRDefault="00F9748A" w:rsidP="00F9748A">
      <w:pPr>
        <w:spacing w:line="360" w:lineRule="auto"/>
        <w:rPr>
          <w:b/>
          <w:bCs/>
        </w:rPr>
      </w:pPr>
      <w:r w:rsidRPr="00F9748A">
        <w:rPr>
          <w:b/>
          <w:bCs/>
        </w:rPr>
        <w:t>Slide 3</w:t>
      </w:r>
    </w:p>
    <w:p w14:paraId="2E4E3AFE"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 objective for this training is to support the chief elected official’s understanding of their responsibility in appointing compliant Local Workforce Development Boards. This module will provide an overview of the board’s purpose, roles and responsibilities, and membership composition.</w:t>
      </w:r>
    </w:p>
    <w:p w14:paraId="0A39EE2E"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6B730E42" w14:textId="77777777" w:rsidR="00F9748A" w:rsidRDefault="00F9748A" w:rsidP="00F9748A">
      <w:pPr>
        <w:autoSpaceDE w:val="0"/>
        <w:autoSpaceDN w:val="0"/>
        <w:adjustRightInd w:val="0"/>
        <w:spacing w:after="0" w:line="240" w:lineRule="auto"/>
        <w:rPr>
          <w:rFonts w:ascii="Arial" w:hAnsi="Arial" w:cs="Arial"/>
          <w:sz w:val="24"/>
          <w:szCs w:val="24"/>
        </w:rPr>
      </w:pPr>
    </w:p>
    <w:p w14:paraId="76DF7524" w14:textId="27C2A5C8" w:rsidR="00F9748A" w:rsidRPr="00F9748A" w:rsidRDefault="00F9748A" w:rsidP="00F9748A">
      <w:pPr>
        <w:rPr>
          <w:b/>
          <w:bCs/>
        </w:rPr>
      </w:pPr>
      <w:r w:rsidRPr="00F9748A">
        <w:rPr>
          <w:b/>
          <w:bCs/>
        </w:rPr>
        <w:t>Slide 4</w:t>
      </w:r>
    </w:p>
    <w:p w14:paraId="09861903"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In this section, we will do a quick review of the workforce systems governance structure.</w:t>
      </w:r>
    </w:p>
    <w:p w14:paraId="0506D2F2"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71EDD1EE" w14:textId="787A406F" w:rsidR="00F9748A" w:rsidRPr="00F9748A" w:rsidRDefault="00F9748A" w:rsidP="00F9748A">
      <w:pPr>
        <w:autoSpaceDE w:val="0"/>
        <w:autoSpaceDN w:val="0"/>
        <w:adjustRightInd w:val="0"/>
        <w:spacing w:after="0" w:line="240" w:lineRule="auto"/>
        <w:rPr>
          <w:b/>
          <w:bCs/>
        </w:rPr>
      </w:pPr>
      <w:r w:rsidRPr="00F9748A">
        <w:rPr>
          <w:b/>
          <w:bCs/>
        </w:rPr>
        <w:t>Slide 5</w:t>
      </w:r>
    </w:p>
    <w:p w14:paraId="61F01E98" w14:textId="77777777" w:rsidR="00F9748A" w:rsidRDefault="00F9748A" w:rsidP="00F9748A">
      <w:pPr>
        <w:autoSpaceDE w:val="0"/>
        <w:autoSpaceDN w:val="0"/>
        <w:adjustRightInd w:val="0"/>
        <w:spacing w:after="0" w:line="240" w:lineRule="auto"/>
      </w:pPr>
    </w:p>
    <w:p w14:paraId="2D03F2FF" w14:textId="5D1AA31B"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As discussed earlier in this training series, the Workforce Innovation and Opportunity Act requires a formal governance structure with clearly defined roles. </w:t>
      </w:r>
      <w:proofErr w:type="gramStart"/>
      <w:r>
        <w:rPr>
          <w:rFonts w:ascii="Calibri" w:hAnsi="Calibri" w:cs="Calibri"/>
          <w:kern w:val="24"/>
          <w:sz w:val="24"/>
          <w:szCs w:val="24"/>
        </w:rPr>
        <w:t>This graphic lays</w:t>
      </w:r>
      <w:proofErr w:type="gramEnd"/>
      <w:r>
        <w:rPr>
          <w:rFonts w:ascii="Calibri" w:hAnsi="Calibri" w:cs="Calibri"/>
          <w:kern w:val="24"/>
          <w:sz w:val="24"/>
          <w:szCs w:val="24"/>
        </w:rPr>
        <w:t xml:space="preserve"> out that structure and shows how the funding and oversight flows from the U.S. Department of Labor down through the system to support the delivery of effective services to business and job seeker customers.</w:t>
      </w:r>
    </w:p>
    <w:p w14:paraId="0B8DE80C"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5E0BCBCE"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 arrows denote governance, oversight, consultation, partnership, and in some cases, funding flow.</w:t>
      </w:r>
    </w:p>
    <w:p w14:paraId="05968790"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7ADB5E19"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In today’s session we will cover the section of the graphic that focuses on the Chief Elected Officials and their connection to the Local Workforce Development Board regarding partnering, appointing, and approving the board’s membership. </w:t>
      </w:r>
    </w:p>
    <w:p w14:paraId="4CB5ED87" w14:textId="77777777" w:rsidR="00F9748A" w:rsidRDefault="00F9748A" w:rsidP="00F9748A">
      <w:pPr>
        <w:autoSpaceDE w:val="0"/>
        <w:autoSpaceDN w:val="0"/>
        <w:adjustRightInd w:val="0"/>
        <w:spacing w:after="0" w:line="240" w:lineRule="auto"/>
        <w:rPr>
          <w:rFonts w:ascii="Arial" w:hAnsi="Arial" w:cs="Arial"/>
          <w:sz w:val="24"/>
          <w:szCs w:val="24"/>
        </w:rPr>
      </w:pPr>
    </w:p>
    <w:p w14:paraId="5845AED7" w14:textId="7A66250A" w:rsidR="00F9748A" w:rsidRDefault="00F9748A" w:rsidP="00F9748A">
      <w:pPr>
        <w:spacing w:line="360" w:lineRule="auto"/>
      </w:pPr>
    </w:p>
    <w:p w14:paraId="32125C11" w14:textId="77777777" w:rsidR="00F9748A" w:rsidRDefault="00F9748A">
      <w:r>
        <w:br w:type="page"/>
      </w:r>
    </w:p>
    <w:p w14:paraId="721DB916" w14:textId="7C0A4BFE" w:rsidR="00F9748A" w:rsidRPr="00F9748A" w:rsidRDefault="00F9748A" w:rsidP="00F9748A">
      <w:pPr>
        <w:rPr>
          <w:b/>
          <w:bCs/>
        </w:rPr>
      </w:pPr>
      <w:r w:rsidRPr="00F9748A">
        <w:rPr>
          <w:b/>
          <w:bCs/>
        </w:rPr>
        <w:lastRenderedPageBreak/>
        <w:t>Slide 6</w:t>
      </w:r>
    </w:p>
    <w:p w14:paraId="0E92D221"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This chart looks specifically at the local workforce system structure and the governance roles of the Chief Elected Officials and the Local Workforce Development Board.</w:t>
      </w:r>
    </w:p>
    <w:p w14:paraId="3193F47C"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1417113E"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kern w:val="24"/>
          <w:sz w:val="24"/>
          <w:szCs w:val="24"/>
        </w:rPr>
        <w:t xml:space="preserve">As illustrated in this chart, the Chief Elected Officials and the Local Workforce Development Board are different. </w:t>
      </w:r>
      <w:r>
        <w:rPr>
          <w:rFonts w:ascii="Calibri" w:hAnsi="Calibri" w:cs="Calibri"/>
          <w:color w:val="000000"/>
          <w:kern w:val="24"/>
          <w:sz w:val="24"/>
          <w:szCs w:val="24"/>
        </w:rPr>
        <w:t>Each entity has a clear and distinct role within the system.  While there are shared roles, the entities are separate and should operate independently. </w:t>
      </w:r>
    </w:p>
    <w:p w14:paraId="53FD22FB"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w:t>
      </w:r>
    </w:p>
    <w:p w14:paraId="3133DE83"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 Chief Elected Official may appoint a fiscal agent and the Local Workforce Development Board provides direction to the fiscal agent within their role. CEOs and the Local Workforce Development Board have joint responsibility for oversight of the system which includes oversight of the financial aspects of the system.</w:t>
      </w:r>
    </w:p>
    <w:p w14:paraId="2DEC0D93"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 other three boxes- Board staff, service providers, and one stop operator- represent three other contractual relationships the fiscal agent will have on behalf of the Local Workforce Development Board</w:t>
      </w:r>
    </w:p>
    <w:p w14:paraId="53D18CE7" w14:textId="77777777" w:rsidR="00F9748A" w:rsidRDefault="00F9748A" w:rsidP="00F9748A">
      <w:pPr>
        <w:numPr>
          <w:ilvl w:val="0"/>
          <w:numId w:val="1"/>
        </w:numPr>
        <w:autoSpaceDE w:val="0"/>
        <w:autoSpaceDN w:val="0"/>
        <w:adjustRightInd w:val="0"/>
        <w:spacing w:after="0" w:line="240" w:lineRule="auto"/>
        <w:ind w:left="1142" w:hanging="381"/>
        <w:rPr>
          <w:rFonts w:ascii="Calibri" w:hAnsi="Calibri" w:cs="Calibri"/>
          <w:kern w:val="24"/>
          <w:sz w:val="24"/>
          <w:szCs w:val="24"/>
        </w:rPr>
      </w:pPr>
      <w:r>
        <w:rPr>
          <w:rFonts w:ascii="Calibri" w:hAnsi="Calibri" w:cs="Calibri"/>
          <w:kern w:val="24"/>
          <w:sz w:val="24"/>
          <w:szCs w:val="24"/>
        </w:rPr>
        <w:t>Board staff</w:t>
      </w:r>
    </w:p>
    <w:p w14:paraId="29176538" w14:textId="77777777" w:rsidR="00F9748A" w:rsidRDefault="00F9748A" w:rsidP="00F9748A">
      <w:pPr>
        <w:numPr>
          <w:ilvl w:val="0"/>
          <w:numId w:val="1"/>
        </w:numPr>
        <w:autoSpaceDE w:val="0"/>
        <w:autoSpaceDN w:val="0"/>
        <w:adjustRightInd w:val="0"/>
        <w:spacing w:after="0" w:line="240" w:lineRule="auto"/>
        <w:ind w:left="1142" w:hanging="381"/>
        <w:rPr>
          <w:rFonts w:ascii="Calibri" w:hAnsi="Calibri" w:cs="Calibri"/>
          <w:kern w:val="24"/>
          <w:sz w:val="24"/>
          <w:szCs w:val="24"/>
        </w:rPr>
      </w:pPr>
      <w:r>
        <w:rPr>
          <w:rFonts w:ascii="Calibri" w:hAnsi="Calibri" w:cs="Calibri"/>
          <w:kern w:val="24"/>
          <w:sz w:val="24"/>
          <w:szCs w:val="24"/>
        </w:rPr>
        <w:t xml:space="preserve">Service Providers- adult/ dislocated worker, youth - which could be more than one </w:t>
      </w:r>
      <w:proofErr w:type="gramStart"/>
      <w:r>
        <w:rPr>
          <w:rFonts w:ascii="Calibri" w:hAnsi="Calibri" w:cs="Calibri"/>
          <w:kern w:val="24"/>
          <w:sz w:val="24"/>
          <w:szCs w:val="24"/>
        </w:rPr>
        <w:t>contract;</w:t>
      </w:r>
      <w:proofErr w:type="gramEnd"/>
      <w:r>
        <w:rPr>
          <w:rFonts w:ascii="Calibri" w:hAnsi="Calibri" w:cs="Calibri"/>
          <w:kern w:val="24"/>
          <w:sz w:val="24"/>
          <w:szCs w:val="24"/>
        </w:rPr>
        <w:t xml:space="preserve"> and</w:t>
      </w:r>
    </w:p>
    <w:p w14:paraId="0192CD05" w14:textId="77777777" w:rsidR="00F9748A" w:rsidRDefault="00F9748A" w:rsidP="00F9748A">
      <w:pPr>
        <w:numPr>
          <w:ilvl w:val="0"/>
          <w:numId w:val="1"/>
        </w:numPr>
        <w:autoSpaceDE w:val="0"/>
        <w:autoSpaceDN w:val="0"/>
        <w:adjustRightInd w:val="0"/>
        <w:spacing w:after="0" w:line="240" w:lineRule="auto"/>
        <w:ind w:left="1142" w:hanging="381"/>
        <w:rPr>
          <w:rFonts w:ascii="Calibri" w:hAnsi="Calibri" w:cs="Calibri"/>
          <w:kern w:val="24"/>
          <w:sz w:val="24"/>
          <w:szCs w:val="24"/>
        </w:rPr>
      </w:pPr>
      <w:r>
        <w:rPr>
          <w:rFonts w:ascii="Calibri" w:hAnsi="Calibri" w:cs="Calibri"/>
          <w:kern w:val="24"/>
          <w:sz w:val="24"/>
          <w:szCs w:val="24"/>
        </w:rPr>
        <w:t xml:space="preserve">One Stop Operator </w:t>
      </w:r>
    </w:p>
    <w:p w14:paraId="1D7246BA" w14:textId="7DE63878" w:rsidR="00F9748A" w:rsidRDefault="00F9748A"/>
    <w:p w14:paraId="16E1FC25" w14:textId="56E72E40" w:rsidR="00F9748A" w:rsidRPr="00F9748A" w:rsidRDefault="00F9748A" w:rsidP="00F9748A">
      <w:pPr>
        <w:spacing w:line="360" w:lineRule="auto"/>
        <w:rPr>
          <w:b/>
          <w:bCs/>
        </w:rPr>
      </w:pPr>
      <w:r w:rsidRPr="00F9748A">
        <w:rPr>
          <w:b/>
          <w:bCs/>
        </w:rPr>
        <w:t>Slide 7</w:t>
      </w:r>
    </w:p>
    <w:p w14:paraId="358E5786"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In this section we will discuss the purpose of the local workforce development board as well as </w:t>
      </w:r>
      <w:proofErr w:type="spellStart"/>
      <w:r>
        <w:rPr>
          <w:rFonts w:ascii="Calibri" w:hAnsi="Calibri" w:cs="Calibri"/>
          <w:kern w:val="24"/>
          <w:sz w:val="24"/>
          <w:szCs w:val="24"/>
        </w:rPr>
        <w:t>it’s</w:t>
      </w:r>
      <w:proofErr w:type="spellEnd"/>
      <w:r>
        <w:rPr>
          <w:rFonts w:ascii="Calibri" w:hAnsi="Calibri" w:cs="Calibri"/>
          <w:kern w:val="24"/>
          <w:sz w:val="24"/>
          <w:szCs w:val="24"/>
        </w:rPr>
        <w:t xml:space="preserve"> membership composition.</w:t>
      </w:r>
    </w:p>
    <w:p w14:paraId="30C08D31" w14:textId="77777777" w:rsidR="00F9748A" w:rsidRDefault="00F9748A" w:rsidP="00F9748A">
      <w:pPr>
        <w:autoSpaceDE w:val="0"/>
        <w:autoSpaceDN w:val="0"/>
        <w:adjustRightInd w:val="0"/>
        <w:spacing w:after="0" w:line="240" w:lineRule="auto"/>
        <w:rPr>
          <w:rFonts w:ascii="Arial" w:hAnsi="Arial" w:cs="Arial"/>
          <w:sz w:val="24"/>
          <w:szCs w:val="24"/>
        </w:rPr>
      </w:pPr>
    </w:p>
    <w:p w14:paraId="14C2505D" w14:textId="635965D5" w:rsidR="00F9748A" w:rsidRPr="00F9748A" w:rsidRDefault="00F9748A" w:rsidP="00F9748A">
      <w:pPr>
        <w:rPr>
          <w:b/>
          <w:bCs/>
        </w:rPr>
      </w:pPr>
      <w:r w:rsidRPr="00F9748A">
        <w:rPr>
          <w:b/>
          <w:bCs/>
        </w:rPr>
        <w:t>Slide 8</w:t>
      </w:r>
    </w:p>
    <w:p w14:paraId="3982552F"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Times New Roman" w:hAnsi="Times New Roman" w:cs="Times New Roman"/>
          <w:color w:val="000000"/>
          <w:kern w:val="24"/>
          <w:sz w:val="24"/>
          <w:szCs w:val="24"/>
        </w:rPr>
        <w:t xml:space="preserve">The Local Workforce Development Board’s role is to develop regional strategic plans that set funding priorities for the local area. Local Workforce Development Boards convene partnerships between businesses and community stakeholders and establish sector strategies driven by in-demand occupations and industries. </w:t>
      </w:r>
      <w:r>
        <w:rPr>
          <w:rFonts w:ascii="Calibri" w:hAnsi="Calibri" w:cs="Calibri"/>
          <w:color w:val="000000"/>
          <w:kern w:val="24"/>
          <w:sz w:val="24"/>
          <w:szCs w:val="24"/>
        </w:rPr>
        <w:t xml:space="preserve">The Local Workforce Development Board works with employers and the workforce system to develop the Local WIOA Plan, policies, and investments that support strategies that drive regional economies, including sector partnerships, career pathways, and high quality, customer-centered service delivery. Local Workforce Development Boards are charged with implementing the WIOA vision outlined in the State Plan and Local Workforce Development Board members have a unique opportunity to ensure strategic investments in talent development that meet the needs of local businesses. </w:t>
      </w:r>
    </w:p>
    <w:p w14:paraId="580AC17E"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p>
    <w:p w14:paraId="2FADDB50"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color w:val="000000"/>
          <w:kern w:val="24"/>
          <w:sz w:val="24"/>
          <w:szCs w:val="24"/>
        </w:rPr>
        <w:t>As the Local Workforce Development Board develops and implements a strategic vision for the workforce system it is important to ensure the right composition of Local Workforce Development Board members. It is critical that individuals appointed to the Local Workforce Development Board are qualified to lead </w:t>
      </w:r>
      <w:r>
        <w:rPr>
          <w:rFonts w:ascii="Calibri" w:hAnsi="Calibri" w:cs="Calibri"/>
          <w:color w:val="000000"/>
          <w:kern w:val="24"/>
          <w:sz w:val="24"/>
          <w:szCs w:val="24"/>
          <w:u w:val="single"/>
        </w:rPr>
        <w:t>and</w:t>
      </w:r>
      <w:r>
        <w:rPr>
          <w:rFonts w:ascii="Calibri" w:hAnsi="Calibri" w:cs="Calibri"/>
          <w:color w:val="000000"/>
          <w:kern w:val="24"/>
          <w:sz w:val="24"/>
          <w:szCs w:val="24"/>
        </w:rPr>
        <w:t> comply with the mandated requirements of board membership.  </w:t>
      </w:r>
    </w:p>
    <w:p w14:paraId="3BC34C0D" w14:textId="77777777" w:rsidR="00F9748A" w:rsidRDefault="00F9748A" w:rsidP="00F9748A">
      <w:pPr>
        <w:autoSpaceDE w:val="0"/>
        <w:autoSpaceDN w:val="0"/>
        <w:adjustRightInd w:val="0"/>
        <w:spacing w:after="0" w:line="240" w:lineRule="auto"/>
        <w:rPr>
          <w:rFonts w:ascii="Arial" w:hAnsi="Arial" w:cs="Arial"/>
          <w:sz w:val="24"/>
          <w:szCs w:val="24"/>
        </w:rPr>
      </w:pPr>
    </w:p>
    <w:p w14:paraId="10764A04" w14:textId="4E496D35" w:rsidR="00F9748A" w:rsidRPr="00F9748A" w:rsidRDefault="00F9748A" w:rsidP="00F9748A">
      <w:pPr>
        <w:spacing w:line="360" w:lineRule="auto"/>
        <w:rPr>
          <w:b/>
          <w:bCs/>
        </w:rPr>
      </w:pPr>
    </w:p>
    <w:p w14:paraId="7278330E" w14:textId="3720632A" w:rsidR="00F9748A" w:rsidRPr="00F9748A" w:rsidRDefault="00F9748A" w:rsidP="00F9748A">
      <w:pPr>
        <w:rPr>
          <w:b/>
          <w:bCs/>
        </w:rPr>
      </w:pPr>
      <w:r w:rsidRPr="00F9748A">
        <w:rPr>
          <w:b/>
          <w:bCs/>
        </w:rPr>
        <w:t>Slide 9</w:t>
      </w:r>
    </w:p>
    <w:p w14:paraId="77B0FF8D"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color w:val="000000"/>
          <w:kern w:val="24"/>
          <w:sz w:val="24"/>
          <w:szCs w:val="24"/>
        </w:rPr>
        <w:t>The Local Workforce Development Board members are customers of the system, visionaries, advisors, and change agents, as well as custodians of the local workforce development system. As members of the Local Board, they act with full authority and responsibility to develop policies for the operation of the Board, to monitor its financial and programmatic performance, and to connect the local area with the resources required to meet the needs of the businesses and job seekers. The minimum board size is 19 members. </w:t>
      </w:r>
    </w:p>
    <w:p w14:paraId="5C48AF12" w14:textId="77777777" w:rsidR="00F9748A" w:rsidRPr="00F9748A" w:rsidRDefault="00F9748A" w:rsidP="00F9748A">
      <w:pPr>
        <w:autoSpaceDE w:val="0"/>
        <w:autoSpaceDN w:val="0"/>
        <w:adjustRightInd w:val="0"/>
        <w:spacing w:after="0" w:line="240" w:lineRule="auto"/>
        <w:rPr>
          <w:rFonts w:ascii="Arial" w:hAnsi="Arial" w:cs="Arial"/>
          <w:b/>
          <w:bCs/>
          <w:sz w:val="24"/>
          <w:szCs w:val="24"/>
        </w:rPr>
      </w:pPr>
    </w:p>
    <w:p w14:paraId="607322BE" w14:textId="0D4E2389" w:rsidR="00F9748A" w:rsidRPr="00F9748A" w:rsidRDefault="00F9748A" w:rsidP="00F9748A">
      <w:pPr>
        <w:rPr>
          <w:b/>
          <w:bCs/>
        </w:rPr>
      </w:pPr>
      <w:r w:rsidRPr="00F9748A">
        <w:rPr>
          <w:b/>
          <w:bCs/>
        </w:rPr>
        <w:t>Slide 10</w:t>
      </w:r>
    </w:p>
    <w:p w14:paraId="112C5A56" w14:textId="77777777" w:rsidR="00F9748A" w:rsidRDefault="00F9748A" w:rsidP="00F9748A">
      <w:pPr>
        <w:autoSpaceDE w:val="0"/>
        <w:autoSpaceDN w:val="0"/>
        <w:adjustRightInd w:val="0"/>
        <w:spacing w:after="0" w:line="240" w:lineRule="auto"/>
        <w:rPr>
          <w:rFonts w:ascii="Arial" w:hAnsi="Arial" w:cs="Arial"/>
          <w:color w:val="444444"/>
          <w:kern w:val="24"/>
          <w:sz w:val="24"/>
          <w:szCs w:val="24"/>
        </w:rPr>
      </w:pPr>
      <w:r>
        <w:rPr>
          <w:rFonts w:ascii="Calibri" w:hAnsi="Calibri" w:cs="Calibri"/>
          <w:color w:val="000000"/>
          <w:kern w:val="24"/>
          <w:sz w:val="24"/>
          <w:szCs w:val="24"/>
        </w:rPr>
        <w:t>Business</w:t>
      </w:r>
      <w:r>
        <w:rPr>
          <w:rFonts w:ascii="Calibri" w:hAnsi="Calibri" w:cs="Calibri"/>
          <w:color w:val="444444"/>
          <w:kern w:val="24"/>
          <w:sz w:val="24"/>
          <w:szCs w:val="24"/>
        </w:rPr>
        <w:t xml:space="preserve">​ </w:t>
      </w:r>
      <w:r>
        <w:rPr>
          <w:rFonts w:ascii="Calibri" w:hAnsi="Calibri" w:cs="Calibri"/>
          <w:color w:val="000000"/>
          <w:kern w:val="24"/>
          <w:sz w:val="24"/>
          <w:szCs w:val="24"/>
        </w:rPr>
        <w:t>members are to be nominated by local business organizations and/or trade associations. Individuals nominated under the business category must be employed by a business. </w:t>
      </w:r>
      <w:r>
        <w:rPr>
          <w:rFonts w:ascii="Calibri" w:hAnsi="Calibri" w:cs="Calibri"/>
          <w:color w:val="444444"/>
          <w:kern w:val="24"/>
          <w:sz w:val="24"/>
          <w:szCs w:val="24"/>
        </w:rPr>
        <w:t>​</w:t>
      </w:r>
      <w:r>
        <w:rPr>
          <w:rFonts w:ascii="Calibri" w:hAnsi="Calibri" w:cs="Calibri"/>
          <w:color w:val="000000"/>
          <w:kern w:val="24"/>
          <w:sz w:val="24"/>
          <w:szCs w:val="24"/>
        </w:rPr>
        <w:t xml:space="preserve">These individuals must be owners, </w:t>
      </w:r>
      <w:r>
        <w:rPr>
          <w:rFonts w:ascii="Segoe UI" w:hAnsi="Segoe UI" w:cs="Segoe UI"/>
          <w:kern w:val="24"/>
          <w:sz w:val="24"/>
          <w:szCs w:val="24"/>
        </w:rPr>
        <w:t>non-profit employers such as hospitals</w:t>
      </w:r>
      <w:r>
        <w:rPr>
          <w:rFonts w:ascii="Arial" w:hAnsi="Arial" w:cs="Arial"/>
          <w:kern w:val="24"/>
          <w:sz w:val="24"/>
          <w:szCs w:val="24"/>
        </w:rPr>
        <w:t xml:space="preserve">, </w:t>
      </w:r>
      <w:r>
        <w:rPr>
          <w:rFonts w:ascii="Calibri" w:hAnsi="Calibri" w:cs="Calibri"/>
          <w:color w:val="000000"/>
          <w:kern w:val="24"/>
          <w:sz w:val="24"/>
          <w:szCs w:val="24"/>
        </w:rPr>
        <w:t>chief executive or chief operating officers or must have policy making or hiring authority. In other words, it must be a person who has decision making authority within the company.</w:t>
      </w:r>
      <w:r>
        <w:rPr>
          <w:rFonts w:ascii="Calibri" w:hAnsi="Calibri" w:cs="Calibri"/>
          <w:color w:val="444444"/>
          <w:kern w:val="24"/>
          <w:sz w:val="24"/>
          <w:szCs w:val="24"/>
        </w:rPr>
        <w:t>​</w:t>
      </w:r>
      <w:r>
        <w:rPr>
          <w:rFonts w:ascii="Arial" w:hAnsi="Arial" w:cs="Arial"/>
          <w:color w:val="444444"/>
          <w:kern w:val="24"/>
          <w:sz w:val="24"/>
          <w:szCs w:val="24"/>
        </w:rPr>
        <w:t xml:space="preserve"> In addition,</w:t>
      </w:r>
      <w:r>
        <w:rPr>
          <w:rFonts w:ascii="Calibri" w:hAnsi="Calibri" w:cs="Calibri"/>
          <w:color w:val="000000"/>
          <w:kern w:val="24"/>
          <w:sz w:val="24"/>
          <w:szCs w:val="24"/>
        </w:rPr>
        <w:t xml:space="preserve"> the company must provide employment in the local area AND the employment must be in in-demand occupations or sector</w:t>
      </w:r>
      <w:r>
        <w:rPr>
          <w:rFonts w:ascii="Calibri" w:hAnsi="Calibri" w:cs="Calibri"/>
          <w:color w:val="444444"/>
          <w:kern w:val="24"/>
          <w:sz w:val="24"/>
          <w:szCs w:val="24"/>
        </w:rPr>
        <w:t>​.</w:t>
      </w:r>
    </w:p>
    <w:p w14:paraId="6D9247F7"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p>
    <w:p w14:paraId="60C42B44" w14:textId="2FDAF784" w:rsidR="00F9748A" w:rsidRDefault="00F9748A" w:rsidP="00F9748A">
      <w:pPr>
        <w:autoSpaceDE w:val="0"/>
        <w:autoSpaceDN w:val="0"/>
        <w:adjustRightInd w:val="0"/>
        <w:spacing w:after="0" w:line="240" w:lineRule="auto"/>
        <w:rPr>
          <w:rFonts w:ascii="Calibri" w:hAnsi="Calibri" w:cs="Calibri"/>
          <w:color w:val="444444"/>
          <w:kern w:val="24"/>
          <w:sz w:val="24"/>
          <w:szCs w:val="24"/>
        </w:rPr>
      </w:pPr>
      <w:r>
        <w:rPr>
          <w:rFonts w:ascii="Calibri" w:hAnsi="Calibri" w:cs="Calibri"/>
          <w:color w:val="000000"/>
          <w:kern w:val="24"/>
          <w:sz w:val="24"/>
          <w:szCs w:val="24"/>
        </w:rPr>
        <w:t>It should be noted that an individual who is retired is not eligible to fulfill any of the required membership categories on the board…even if that person was employed when first appointed</w:t>
      </w:r>
      <w:r>
        <w:rPr>
          <w:rFonts w:ascii="Calibri" w:hAnsi="Calibri" w:cs="Calibri"/>
          <w:color w:val="444444"/>
          <w:kern w:val="24"/>
          <w:sz w:val="24"/>
          <w:szCs w:val="24"/>
        </w:rPr>
        <w:t>​.</w:t>
      </w:r>
      <w:r>
        <w:rPr>
          <w:rFonts w:ascii="Arial" w:hAnsi="Arial" w:cs="Arial"/>
          <w:color w:val="444444"/>
          <w:kern w:val="24"/>
          <w:sz w:val="24"/>
          <w:szCs w:val="24"/>
        </w:rPr>
        <w:t xml:space="preserve"> Also, t</w:t>
      </w:r>
      <w:r>
        <w:rPr>
          <w:rFonts w:ascii="Calibri" w:hAnsi="Calibri" w:cs="Calibri"/>
          <w:color w:val="000000"/>
          <w:kern w:val="24"/>
          <w:sz w:val="24"/>
          <w:szCs w:val="24"/>
        </w:rPr>
        <w:t>wo of the business seats must be filled by small businesses</w:t>
      </w:r>
      <w:r>
        <w:rPr>
          <w:rFonts w:ascii="Calibri" w:hAnsi="Calibri" w:cs="Calibri"/>
          <w:color w:val="444444"/>
          <w:kern w:val="24"/>
          <w:sz w:val="24"/>
          <w:szCs w:val="24"/>
        </w:rPr>
        <w:t>​.</w:t>
      </w:r>
    </w:p>
    <w:p w14:paraId="7E564ABB" w14:textId="77777777" w:rsidR="00F9748A" w:rsidRPr="00F9748A" w:rsidRDefault="00F9748A" w:rsidP="00F9748A">
      <w:pPr>
        <w:autoSpaceDE w:val="0"/>
        <w:autoSpaceDN w:val="0"/>
        <w:adjustRightInd w:val="0"/>
        <w:spacing w:after="0" w:line="240" w:lineRule="auto"/>
        <w:rPr>
          <w:b/>
          <w:bCs/>
        </w:rPr>
      </w:pPr>
    </w:p>
    <w:p w14:paraId="450B19C4" w14:textId="4BC1D0C5" w:rsidR="00F9748A" w:rsidRPr="00F9748A" w:rsidRDefault="00F9748A" w:rsidP="00F9748A">
      <w:pPr>
        <w:spacing w:line="360" w:lineRule="auto"/>
        <w:rPr>
          <w:b/>
          <w:bCs/>
        </w:rPr>
      </w:pPr>
      <w:r w:rsidRPr="00F9748A">
        <w:rPr>
          <w:b/>
          <w:bCs/>
        </w:rPr>
        <w:t>Slide 11</w:t>
      </w:r>
    </w:p>
    <w:p w14:paraId="01145A42"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Workforce, at a minimum, should make up 20% of the board. As with business, this group represents one of the customer groups of the system.  </w:t>
      </w:r>
    </w:p>
    <w:p w14:paraId="04D75020"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p>
    <w:p w14:paraId="53298D4E"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 xml:space="preserve">It </w:t>
      </w:r>
      <w:r>
        <w:rPr>
          <w:rFonts w:ascii="Calibri" w:hAnsi="Calibri" w:cs="Calibri"/>
          <w:b/>
          <w:bCs/>
          <w:color w:val="000000"/>
          <w:kern w:val="24"/>
          <w:sz w:val="24"/>
          <w:szCs w:val="24"/>
        </w:rPr>
        <w:t>must</w:t>
      </w:r>
      <w:r>
        <w:rPr>
          <w:rFonts w:ascii="Calibri" w:hAnsi="Calibri" w:cs="Calibri"/>
          <w:color w:val="000000"/>
          <w:kern w:val="24"/>
          <w:sz w:val="24"/>
          <w:szCs w:val="24"/>
        </w:rPr>
        <w:t xml:space="preserve"> include: </w:t>
      </w:r>
    </w:p>
    <w:p w14:paraId="7C1EB8B7"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color w:val="000000"/>
          <w:kern w:val="24"/>
          <w:sz w:val="24"/>
          <w:szCs w:val="24"/>
        </w:rPr>
      </w:pPr>
      <w:r>
        <w:rPr>
          <w:rFonts w:ascii="Calibri" w:hAnsi="Calibri" w:cs="Calibri"/>
          <w:color w:val="000000"/>
          <w:kern w:val="24"/>
          <w:sz w:val="24"/>
          <w:szCs w:val="24"/>
        </w:rPr>
        <w:t>Representatives of labor organizations nominated by local labor federations or by other representatives of employees and</w:t>
      </w:r>
    </w:p>
    <w:p w14:paraId="41A13B18"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color w:val="000000"/>
          <w:kern w:val="24"/>
          <w:sz w:val="24"/>
          <w:szCs w:val="24"/>
        </w:rPr>
      </w:pPr>
      <w:r>
        <w:rPr>
          <w:rFonts w:ascii="Calibri" w:hAnsi="Calibri" w:cs="Calibri"/>
          <w:color w:val="000000"/>
          <w:kern w:val="24"/>
          <w:sz w:val="24"/>
          <w:szCs w:val="24"/>
        </w:rPr>
        <w:t>A member of a labor organization or a training director from an apprenticeship program</w:t>
      </w:r>
    </w:p>
    <w:p w14:paraId="6164CFDF"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 xml:space="preserve">It </w:t>
      </w:r>
      <w:r>
        <w:rPr>
          <w:rFonts w:ascii="Calibri" w:hAnsi="Calibri" w:cs="Calibri"/>
          <w:b/>
          <w:bCs/>
          <w:color w:val="000000"/>
          <w:kern w:val="24"/>
          <w:sz w:val="24"/>
          <w:szCs w:val="24"/>
        </w:rPr>
        <w:t>may</w:t>
      </w:r>
      <w:r>
        <w:rPr>
          <w:rFonts w:ascii="Calibri" w:hAnsi="Calibri" w:cs="Calibri"/>
          <w:color w:val="000000"/>
          <w:kern w:val="24"/>
          <w:sz w:val="24"/>
          <w:szCs w:val="24"/>
        </w:rPr>
        <w:t xml:space="preserve"> include:</w:t>
      </w:r>
    </w:p>
    <w:p w14:paraId="73879B24"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color w:val="000000"/>
          <w:kern w:val="24"/>
          <w:sz w:val="24"/>
          <w:szCs w:val="24"/>
        </w:rPr>
      </w:pPr>
      <w:r>
        <w:rPr>
          <w:rFonts w:ascii="Calibri" w:hAnsi="Calibri" w:cs="Calibri"/>
          <w:color w:val="000000"/>
          <w:kern w:val="24"/>
          <w:sz w:val="24"/>
          <w:szCs w:val="24"/>
        </w:rPr>
        <w:t>A member of a community-based organization with expertise in working with veterans or individuals with disabilities and</w:t>
      </w:r>
    </w:p>
    <w:p w14:paraId="34579AF5"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color w:val="000000"/>
          <w:kern w:val="24"/>
          <w:sz w:val="24"/>
          <w:szCs w:val="24"/>
        </w:rPr>
      </w:pPr>
      <w:r>
        <w:rPr>
          <w:rFonts w:ascii="Calibri" w:hAnsi="Calibri" w:cs="Calibri"/>
          <w:color w:val="000000"/>
          <w:kern w:val="24"/>
          <w:sz w:val="24"/>
          <w:szCs w:val="24"/>
        </w:rPr>
        <w:t>A member of an organization with expertise in serving eligible youth and out of school youth </w:t>
      </w:r>
    </w:p>
    <w:p w14:paraId="1FE06B9E"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p>
    <w:p w14:paraId="7F8D523A"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6B98865C" w14:textId="77777777" w:rsidR="00F9748A" w:rsidRDefault="00F9748A" w:rsidP="00F9748A">
      <w:pPr>
        <w:autoSpaceDE w:val="0"/>
        <w:autoSpaceDN w:val="0"/>
        <w:adjustRightInd w:val="0"/>
        <w:spacing w:after="0" w:line="240" w:lineRule="auto"/>
        <w:rPr>
          <w:rFonts w:ascii="Arial" w:hAnsi="Arial" w:cs="Arial"/>
          <w:sz w:val="24"/>
          <w:szCs w:val="24"/>
        </w:rPr>
      </w:pPr>
    </w:p>
    <w:p w14:paraId="152F7A03" w14:textId="55676B09" w:rsidR="00F9748A" w:rsidRDefault="00F9748A" w:rsidP="00F9748A">
      <w:pPr>
        <w:spacing w:line="360" w:lineRule="auto"/>
      </w:pPr>
    </w:p>
    <w:p w14:paraId="33B959B4" w14:textId="2AD80292" w:rsidR="00F9748A" w:rsidRPr="00F9748A" w:rsidRDefault="00F9748A" w:rsidP="00F9748A">
      <w:pPr>
        <w:rPr>
          <w:b/>
          <w:bCs/>
        </w:rPr>
      </w:pPr>
      <w:r>
        <w:br w:type="page"/>
      </w:r>
      <w:r w:rsidRPr="00F9748A">
        <w:rPr>
          <w:b/>
          <w:bCs/>
        </w:rPr>
        <w:lastRenderedPageBreak/>
        <w:t>Slide 12</w:t>
      </w:r>
    </w:p>
    <w:p w14:paraId="2D9E172E"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The education and training membership category must include:</w:t>
      </w:r>
    </w:p>
    <w:p w14:paraId="24EC174E"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color w:val="000000"/>
          <w:kern w:val="24"/>
          <w:sz w:val="24"/>
          <w:szCs w:val="24"/>
        </w:rPr>
      </w:pPr>
      <w:r>
        <w:rPr>
          <w:rFonts w:ascii="Calibri" w:hAnsi="Calibri" w:cs="Calibri"/>
          <w:color w:val="000000"/>
          <w:kern w:val="24"/>
          <w:sz w:val="24"/>
          <w:szCs w:val="24"/>
        </w:rPr>
        <w:t>A representative of adult education and</w:t>
      </w:r>
    </w:p>
    <w:p w14:paraId="1046CBC7"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kern w:val="24"/>
          <w:sz w:val="24"/>
          <w:szCs w:val="24"/>
        </w:rPr>
      </w:pPr>
      <w:r>
        <w:rPr>
          <w:rFonts w:ascii="Calibri" w:hAnsi="Calibri" w:cs="Calibri"/>
          <w:kern w:val="24"/>
          <w:sz w:val="24"/>
          <w:szCs w:val="24"/>
        </w:rPr>
        <w:t>At least one eligible training provider administering adult education and literacy activities under WIOA title II. This may include a representative from higher education providing workforce investment activities including community colleges</w:t>
      </w:r>
    </w:p>
    <w:p w14:paraId="07044CDD"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i/>
          <w:iCs/>
          <w:color w:val="000000"/>
          <w:kern w:val="24"/>
          <w:sz w:val="24"/>
          <w:szCs w:val="24"/>
        </w:rPr>
        <w:t>It may</w:t>
      </w:r>
      <w:r>
        <w:rPr>
          <w:rFonts w:ascii="Calibri" w:hAnsi="Calibri" w:cs="Calibri"/>
          <w:color w:val="000000"/>
          <w:kern w:val="24"/>
          <w:sz w:val="24"/>
          <w:szCs w:val="24"/>
        </w:rPr>
        <w:t> include:</w:t>
      </w:r>
    </w:p>
    <w:p w14:paraId="4B057D45"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color w:val="000000"/>
          <w:kern w:val="24"/>
          <w:sz w:val="24"/>
          <w:szCs w:val="24"/>
        </w:rPr>
      </w:pPr>
      <w:r>
        <w:rPr>
          <w:rFonts w:ascii="Calibri" w:hAnsi="Calibri" w:cs="Calibri"/>
          <w:color w:val="000000"/>
          <w:kern w:val="24"/>
          <w:sz w:val="24"/>
          <w:szCs w:val="24"/>
        </w:rPr>
        <w:t>Representatives of local educational agencies and community-based organizations with expertise in serving individuals with barriers to employment. </w:t>
      </w:r>
    </w:p>
    <w:p w14:paraId="3E78C961" w14:textId="51769261" w:rsidR="00F9748A" w:rsidRDefault="00F9748A" w:rsidP="00F9748A">
      <w:pPr>
        <w:spacing w:line="360" w:lineRule="auto"/>
      </w:pPr>
    </w:p>
    <w:p w14:paraId="589F9043" w14:textId="377644B1" w:rsidR="00F9748A" w:rsidRPr="00F9748A" w:rsidRDefault="00F9748A" w:rsidP="00F9748A">
      <w:pPr>
        <w:rPr>
          <w:b/>
          <w:bCs/>
        </w:rPr>
      </w:pPr>
      <w:r w:rsidRPr="00F9748A">
        <w:rPr>
          <w:b/>
          <w:bCs/>
        </w:rPr>
        <w:t>Slide 13</w:t>
      </w:r>
    </w:p>
    <w:p w14:paraId="364BA40A"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Light" w:hAnsi="Calibri Light" w:cs="Calibri Light"/>
          <w:kern w:val="24"/>
          <w:sz w:val="24"/>
          <w:szCs w:val="24"/>
        </w:rPr>
        <w:t>Government Representatives must include: </w:t>
      </w:r>
    </w:p>
    <w:p w14:paraId="0EE0D8F2"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kern w:val="24"/>
          <w:sz w:val="24"/>
          <w:szCs w:val="24"/>
        </w:rPr>
      </w:pPr>
      <w:r>
        <w:rPr>
          <w:rFonts w:ascii="Calibri" w:hAnsi="Calibri" w:cs="Calibri"/>
          <w:kern w:val="24"/>
          <w:sz w:val="24"/>
          <w:szCs w:val="24"/>
        </w:rPr>
        <w:t>A member from economic and community development entities </w:t>
      </w:r>
    </w:p>
    <w:p w14:paraId="62EF7010"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kern w:val="24"/>
          <w:sz w:val="24"/>
          <w:szCs w:val="24"/>
        </w:rPr>
      </w:pPr>
      <w:r>
        <w:rPr>
          <w:rFonts w:ascii="Calibri" w:hAnsi="Calibri" w:cs="Calibri"/>
          <w:kern w:val="24"/>
          <w:sz w:val="24"/>
          <w:szCs w:val="24"/>
        </w:rPr>
        <w:t>A member from the state employment service under the Wagner-</w:t>
      </w:r>
      <w:proofErr w:type="spellStart"/>
      <w:r>
        <w:rPr>
          <w:rFonts w:ascii="Calibri" w:hAnsi="Calibri" w:cs="Calibri"/>
          <w:kern w:val="24"/>
          <w:sz w:val="24"/>
          <w:szCs w:val="24"/>
        </w:rPr>
        <w:t>Peyser</w:t>
      </w:r>
      <w:proofErr w:type="spellEnd"/>
      <w:r>
        <w:rPr>
          <w:rFonts w:ascii="Calibri" w:hAnsi="Calibri" w:cs="Calibri"/>
          <w:kern w:val="24"/>
          <w:sz w:val="24"/>
          <w:szCs w:val="24"/>
        </w:rPr>
        <w:t xml:space="preserve"> Act and</w:t>
      </w:r>
    </w:p>
    <w:p w14:paraId="16AAFFD7"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kern w:val="24"/>
          <w:sz w:val="24"/>
          <w:szCs w:val="24"/>
        </w:rPr>
      </w:pPr>
      <w:r>
        <w:rPr>
          <w:rFonts w:ascii="Calibri" w:hAnsi="Calibri" w:cs="Calibri"/>
          <w:kern w:val="24"/>
          <w:sz w:val="24"/>
          <w:szCs w:val="24"/>
        </w:rPr>
        <w:t>A unique representative from Vocational Rehabilitation </w:t>
      </w:r>
    </w:p>
    <w:p w14:paraId="39258F68"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70FB5A60"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The group may include:</w:t>
      </w:r>
    </w:p>
    <w:p w14:paraId="75C70DA8" w14:textId="77777777" w:rsidR="00F9748A" w:rsidRDefault="00F9748A" w:rsidP="00F9748A">
      <w:pPr>
        <w:numPr>
          <w:ilvl w:val="0"/>
          <w:numId w:val="2"/>
        </w:numPr>
        <w:autoSpaceDE w:val="0"/>
        <w:autoSpaceDN w:val="0"/>
        <w:adjustRightInd w:val="0"/>
        <w:spacing w:after="0" w:line="240" w:lineRule="auto"/>
        <w:ind w:left="450" w:hanging="450"/>
        <w:rPr>
          <w:rFonts w:ascii="Calibri" w:hAnsi="Calibri" w:cs="Calibri"/>
          <w:kern w:val="24"/>
          <w:sz w:val="24"/>
          <w:szCs w:val="24"/>
        </w:rPr>
      </w:pPr>
      <w:r>
        <w:rPr>
          <w:rFonts w:ascii="Calibri" w:hAnsi="Calibri" w:cs="Calibri"/>
          <w:kern w:val="24"/>
          <w:sz w:val="24"/>
          <w:szCs w:val="24"/>
        </w:rPr>
        <w:t xml:space="preserve">A member from agencies running transportation, housing, or public assistance </w:t>
      </w:r>
      <w:proofErr w:type="gramStart"/>
      <w:r>
        <w:rPr>
          <w:rFonts w:ascii="Calibri" w:hAnsi="Calibri" w:cs="Calibri"/>
          <w:kern w:val="24"/>
          <w:sz w:val="24"/>
          <w:szCs w:val="24"/>
        </w:rPr>
        <w:t>programs  and</w:t>
      </w:r>
      <w:proofErr w:type="gramEnd"/>
    </w:p>
    <w:p w14:paraId="73C402E0" w14:textId="40DE1F3A" w:rsidR="00F9748A" w:rsidRDefault="00F9748A" w:rsidP="00F9748A">
      <w:pPr>
        <w:numPr>
          <w:ilvl w:val="0"/>
          <w:numId w:val="2"/>
        </w:numPr>
        <w:autoSpaceDE w:val="0"/>
        <w:autoSpaceDN w:val="0"/>
        <w:adjustRightInd w:val="0"/>
        <w:spacing w:after="0" w:line="360" w:lineRule="auto"/>
        <w:ind w:left="450" w:hanging="450"/>
      </w:pPr>
      <w:r w:rsidRPr="00F9748A">
        <w:rPr>
          <w:rFonts w:ascii="Calibri" w:hAnsi="Calibri" w:cs="Calibri"/>
          <w:kern w:val="24"/>
          <w:sz w:val="24"/>
          <w:szCs w:val="24"/>
        </w:rPr>
        <w:t>A member from philanthropic organizations. </w:t>
      </w:r>
    </w:p>
    <w:p w14:paraId="13E95F9C" w14:textId="77777777" w:rsidR="00F9748A" w:rsidRDefault="00F9748A" w:rsidP="00F9748A">
      <w:pPr>
        <w:spacing w:line="360" w:lineRule="auto"/>
      </w:pPr>
    </w:p>
    <w:p w14:paraId="78BD4EEE" w14:textId="2EBFECBA" w:rsidR="00F9748A" w:rsidRPr="00F9748A" w:rsidRDefault="00F9748A" w:rsidP="00F9748A">
      <w:pPr>
        <w:spacing w:line="360" w:lineRule="auto"/>
        <w:rPr>
          <w:b/>
          <w:bCs/>
        </w:rPr>
      </w:pPr>
      <w:r w:rsidRPr="00F9748A">
        <w:rPr>
          <w:b/>
          <w:bCs/>
        </w:rPr>
        <w:t>Slide 14</w:t>
      </w:r>
    </w:p>
    <w:p w14:paraId="3C710877" w14:textId="77777777" w:rsidR="00F9748A" w:rsidRDefault="00F9748A" w:rsidP="00F9748A">
      <w:pPr>
        <w:autoSpaceDE w:val="0"/>
        <w:autoSpaceDN w:val="0"/>
        <w:adjustRightInd w:val="0"/>
        <w:spacing w:after="0" w:line="240" w:lineRule="auto"/>
        <w:rPr>
          <w:rFonts w:ascii="Calibri" w:hAnsi="Calibri" w:cs="Calibri"/>
          <w:color w:val="444444"/>
          <w:kern w:val="24"/>
          <w:sz w:val="24"/>
          <w:szCs w:val="24"/>
        </w:rPr>
      </w:pPr>
      <w:r>
        <w:rPr>
          <w:rFonts w:ascii="Calibri" w:hAnsi="Calibri" w:cs="Calibri"/>
          <w:color w:val="000000"/>
          <w:kern w:val="24"/>
          <w:sz w:val="24"/>
          <w:szCs w:val="24"/>
        </w:rPr>
        <w:t>This pie chart represents the board based on required membership categories. With 19 members, business representation is at 53% and workforce is at 21%. The margin of error is slim for both categories. Therefore, if you add any seats, the percentages will change. </w:t>
      </w:r>
      <w:r>
        <w:rPr>
          <w:rFonts w:ascii="Calibri" w:hAnsi="Calibri" w:cs="Calibri"/>
          <w:color w:val="444444"/>
          <w:kern w:val="24"/>
          <w:sz w:val="24"/>
          <w:szCs w:val="24"/>
        </w:rPr>
        <w:t>​</w:t>
      </w:r>
    </w:p>
    <w:p w14:paraId="575E87DC" w14:textId="77777777" w:rsidR="00F9748A" w:rsidRDefault="00F9748A" w:rsidP="00F9748A">
      <w:pPr>
        <w:autoSpaceDE w:val="0"/>
        <w:autoSpaceDN w:val="0"/>
        <w:adjustRightInd w:val="0"/>
        <w:spacing w:after="0" w:line="240" w:lineRule="auto"/>
        <w:rPr>
          <w:rFonts w:ascii="Calibri" w:hAnsi="Calibri" w:cs="Calibri"/>
          <w:color w:val="444444"/>
          <w:kern w:val="24"/>
          <w:sz w:val="24"/>
          <w:szCs w:val="24"/>
        </w:rPr>
      </w:pPr>
      <w:r>
        <w:rPr>
          <w:rFonts w:ascii="Calibri" w:hAnsi="Calibri" w:cs="Calibri"/>
          <w:color w:val="444444"/>
          <w:kern w:val="24"/>
          <w:sz w:val="24"/>
          <w:szCs w:val="24"/>
        </w:rPr>
        <w:t>​</w:t>
      </w:r>
    </w:p>
    <w:p w14:paraId="608ED976" w14:textId="77777777" w:rsidR="00F9748A" w:rsidRDefault="00F9748A" w:rsidP="00F9748A">
      <w:pPr>
        <w:autoSpaceDE w:val="0"/>
        <w:autoSpaceDN w:val="0"/>
        <w:adjustRightInd w:val="0"/>
        <w:spacing w:after="0" w:line="240" w:lineRule="auto"/>
        <w:rPr>
          <w:rFonts w:ascii="Calibri" w:hAnsi="Calibri" w:cs="Calibri"/>
          <w:color w:val="444444"/>
          <w:kern w:val="24"/>
          <w:sz w:val="24"/>
          <w:szCs w:val="24"/>
        </w:rPr>
      </w:pPr>
      <w:r>
        <w:rPr>
          <w:rFonts w:ascii="Calibri" w:hAnsi="Calibri" w:cs="Calibri"/>
          <w:color w:val="000000"/>
          <w:kern w:val="24"/>
          <w:sz w:val="24"/>
          <w:szCs w:val="24"/>
        </w:rPr>
        <w:t>Business and workers are the two customers of the public workforce system and are, therefore, expected to be the largest number of members are the board. </w:t>
      </w:r>
      <w:r>
        <w:rPr>
          <w:rFonts w:ascii="Calibri" w:hAnsi="Calibri" w:cs="Calibri"/>
          <w:color w:val="444444"/>
          <w:kern w:val="24"/>
          <w:sz w:val="24"/>
          <w:szCs w:val="24"/>
        </w:rPr>
        <w:t>​</w:t>
      </w:r>
    </w:p>
    <w:p w14:paraId="63397C33" w14:textId="77777777" w:rsidR="00F9748A" w:rsidRDefault="00F9748A" w:rsidP="00F9748A">
      <w:pPr>
        <w:autoSpaceDE w:val="0"/>
        <w:autoSpaceDN w:val="0"/>
        <w:adjustRightInd w:val="0"/>
        <w:spacing w:after="0" w:line="240" w:lineRule="auto"/>
        <w:rPr>
          <w:rFonts w:ascii="Calibri" w:hAnsi="Calibri" w:cs="Calibri"/>
          <w:color w:val="444444"/>
          <w:kern w:val="24"/>
          <w:sz w:val="24"/>
          <w:szCs w:val="24"/>
        </w:rPr>
      </w:pPr>
      <w:r>
        <w:rPr>
          <w:rFonts w:ascii="Calibri" w:hAnsi="Calibri" w:cs="Calibri"/>
          <w:color w:val="444444"/>
          <w:kern w:val="24"/>
          <w:sz w:val="24"/>
          <w:szCs w:val="24"/>
        </w:rPr>
        <w:t>​</w:t>
      </w:r>
    </w:p>
    <w:p w14:paraId="2F5EA5CB" w14:textId="77777777" w:rsidR="00F9748A" w:rsidRDefault="00F9748A" w:rsidP="00F9748A">
      <w:pPr>
        <w:autoSpaceDE w:val="0"/>
        <w:autoSpaceDN w:val="0"/>
        <w:adjustRightInd w:val="0"/>
        <w:spacing w:after="0" w:line="240" w:lineRule="auto"/>
        <w:rPr>
          <w:rFonts w:ascii="Calibri" w:hAnsi="Calibri" w:cs="Calibri"/>
          <w:color w:val="444444"/>
          <w:kern w:val="24"/>
          <w:sz w:val="24"/>
          <w:szCs w:val="24"/>
        </w:rPr>
      </w:pPr>
      <w:r>
        <w:rPr>
          <w:rFonts w:ascii="Calibri" w:hAnsi="Calibri" w:cs="Calibri"/>
          <w:color w:val="000000"/>
          <w:kern w:val="24"/>
          <w:sz w:val="24"/>
          <w:szCs w:val="24"/>
        </w:rPr>
        <w:t>Keep these percentage requirements front and center as you make decisions about the size of the board.</w:t>
      </w:r>
      <w:r>
        <w:rPr>
          <w:rFonts w:ascii="Calibri" w:hAnsi="Calibri" w:cs="Calibri"/>
          <w:color w:val="444444"/>
          <w:kern w:val="24"/>
          <w:sz w:val="24"/>
          <w:szCs w:val="24"/>
        </w:rPr>
        <w:t>​</w:t>
      </w:r>
    </w:p>
    <w:p w14:paraId="5D0B1A7C" w14:textId="77777777" w:rsidR="00F9748A" w:rsidRDefault="00F9748A" w:rsidP="00F9748A">
      <w:pPr>
        <w:autoSpaceDE w:val="0"/>
        <w:autoSpaceDN w:val="0"/>
        <w:adjustRightInd w:val="0"/>
        <w:spacing w:after="0" w:line="240" w:lineRule="auto"/>
        <w:rPr>
          <w:rFonts w:ascii="Calibri" w:hAnsi="Calibri" w:cs="Calibri"/>
          <w:color w:val="444444"/>
          <w:kern w:val="24"/>
          <w:sz w:val="24"/>
          <w:szCs w:val="24"/>
        </w:rPr>
      </w:pPr>
      <w:r>
        <w:rPr>
          <w:rFonts w:ascii="Calibri" w:hAnsi="Calibri" w:cs="Calibri"/>
          <w:color w:val="444444"/>
          <w:kern w:val="24"/>
          <w:sz w:val="24"/>
          <w:szCs w:val="24"/>
        </w:rPr>
        <w:t>​</w:t>
      </w:r>
    </w:p>
    <w:p w14:paraId="0E03FAAA" w14:textId="77777777" w:rsidR="00F9748A" w:rsidRDefault="00F9748A" w:rsidP="00F9748A">
      <w:pPr>
        <w:autoSpaceDE w:val="0"/>
        <w:autoSpaceDN w:val="0"/>
        <w:adjustRightInd w:val="0"/>
        <w:spacing w:after="0" w:line="240" w:lineRule="auto"/>
        <w:rPr>
          <w:rFonts w:ascii="Calibri" w:hAnsi="Calibri" w:cs="Calibri"/>
          <w:color w:val="444444"/>
          <w:kern w:val="24"/>
          <w:sz w:val="24"/>
          <w:szCs w:val="24"/>
        </w:rPr>
      </w:pPr>
      <w:r>
        <w:rPr>
          <w:rFonts w:ascii="Calibri" w:hAnsi="Calibri" w:cs="Calibri"/>
          <w:color w:val="000000"/>
          <w:kern w:val="24"/>
          <w:sz w:val="24"/>
          <w:szCs w:val="24"/>
        </w:rPr>
        <w:t>A few things to consider</w:t>
      </w:r>
      <w:r>
        <w:rPr>
          <w:rFonts w:ascii="Calibri" w:hAnsi="Calibri" w:cs="Calibri"/>
          <w:color w:val="444444"/>
          <w:kern w:val="24"/>
          <w:sz w:val="24"/>
          <w:szCs w:val="24"/>
        </w:rPr>
        <w:t>:</w:t>
      </w:r>
    </w:p>
    <w:p w14:paraId="49B409A6" w14:textId="77777777" w:rsidR="00F9748A" w:rsidRDefault="00F9748A" w:rsidP="00F9748A">
      <w:pPr>
        <w:numPr>
          <w:ilvl w:val="0"/>
          <w:numId w:val="2"/>
        </w:numPr>
        <w:autoSpaceDE w:val="0"/>
        <w:autoSpaceDN w:val="0"/>
        <w:adjustRightInd w:val="0"/>
        <w:spacing w:after="0" w:line="240" w:lineRule="auto"/>
        <w:ind w:left="270" w:hanging="270"/>
        <w:rPr>
          <w:rFonts w:ascii="Arial" w:hAnsi="Arial" w:cs="Arial"/>
          <w:color w:val="444444"/>
          <w:kern w:val="24"/>
          <w:sz w:val="24"/>
          <w:szCs w:val="24"/>
        </w:rPr>
      </w:pPr>
      <w:r>
        <w:rPr>
          <w:rFonts w:ascii="Calibri" w:hAnsi="Calibri" w:cs="Calibri"/>
          <w:color w:val="444444"/>
          <w:kern w:val="24"/>
          <w:sz w:val="24"/>
          <w:szCs w:val="24"/>
        </w:rPr>
        <w:t>​</w:t>
      </w:r>
      <w:r>
        <w:rPr>
          <w:rFonts w:ascii="Calibri" w:hAnsi="Calibri" w:cs="Calibri"/>
          <w:color w:val="000000"/>
          <w:kern w:val="24"/>
          <w:sz w:val="24"/>
          <w:szCs w:val="24"/>
        </w:rPr>
        <w:t xml:space="preserve">Each county in the Local Workforce Development Area does not need to have a business represented on the board. There is nothing wrong with this strategy </w:t>
      </w:r>
      <w:proofErr w:type="gramStart"/>
      <w:r>
        <w:rPr>
          <w:rFonts w:ascii="Calibri" w:hAnsi="Calibri" w:cs="Calibri"/>
          <w:color w:val="000000"/>
          <w:kern w:val="24"/>
          <w:sz w:val="24"/>
          <w:szCs w:val="24"/>
        </w:rPr>
        <w:t>as long as</w:t>
      </w:r>
      <w:proofErr w:type="gramEnd"/>
      <w:r>
        <w:rPr>
          <w:rFonts w:ascii="Calibri" w:hAnsi="Calibri" w:cs="Calibri"/>
          <w:color w:val="000000"/>
          <w:kern w:val="24"/>
          <w:sz w:val="24"/>
          <w:szCs w:val="24"/>
        </w:rPr>
        <w:t xml:space="preserve"> all requirements are fulfilled. However, it may be helpful to focus on targeted industry sectors to identify how business seats will be utilized</w:t>
      </w:r>
      <w:r>
        <w:rPr>
          <w:rFonts w:ascii="Calibri" w:hAnsi="Calibri" w:cs="Calibri"/>
          <w:color w:val="444444"/>
          <w:kern w:val="24"/>
          <w:sz w:val="24"/>
          <w:szCs w:val="24"/>
        </w:rPr>
        <w:t>​</w:t>
      </w:r>
    </w:p>
    <w:p w14:paraId="5EFBA3F4" w14:textId="668C39FC" w:rsidR="00F9748A" w:rsidRPr="00F9748A" w:rsidRDefault="00F9748A" w:rsidP="00F9748A">
      <w:pPr>
        <w:numPr>
          <w:ilvl w:val="0"/>
          <w:numId w:val="2"/>
        </w:numPr>
        <w:autoSpaceDE w:val="0"/>
        <w:autoSpaceDN w:val="0"/>
        <w:adjustRightInd w:val="0"/>
        <w:spacing w:after="0" w:line="240" w:lineRule="auto"/>
        <w:ind w:left="270" w:hanging="270"/>
        <w:rPr>
          <w:rFonts w:ascii="Arial" w:hAnsi="Arial" w:cs="Arial"/>
          <w:color w:val="444444"/>
          <w:kern w:val="24"/>
          <w:sz w:val="24"/>
          <w:szCs w:val="24"/>
        </w:rPr>
      </w:pPr>
      <w:r>
        <w:rPr>
          <w:rFonts w:ascii="Calibri" w:hAnsi="Calibri" w:cs="Calibri"/>
          <w:color w:val="000000"/>
          <w:kern w:val="24"/>
          <w:sz w:val="24"/>
          <w:szCs w:val="24"/>
        </w:rPr>
        <w:lastRenderedPageBreak/>
        <w:t>Also, if you choose to add seats and want to make those seats non-voting, be mindful of the role business and workforce plays on the board. You wouldn’t want to create numerous non-voting seats which then outnumber the business and workforce representation.</w:t>
      </w:r>
    </w:p>
    <w:p w14:paraId="5EC7FB89" w14:textId="76CDC2F8" w:rsidR="00F9748A" w:rsidRDefault="00F9748A" w:rsidP="00F9748A">
      <w:pPr>
        <w:spacing w:line="360" w:lineRule="auto"/>
      </w:pPr>
    </w:p>
    <w:p w14:paraId="6CFD6582" w14:textId="00FB57CA" w:rsidR="00F9748A" w:rsidRPr="00F9748A" w:rsidRDefault="00F9748A" w:rsidP="00F9748A">
      <w:pPr>
        <w:rPr>
          <w:b/>
          <w:bCs/>
        </w:rPr>
      </w:pPr>
      <w:r w:rsidRPr="00F9748A">
        <w:rPr>
          <w:b/>
          <w:bCs/>
        </w:rPr>
        <w:t>Slide 15</w:t>
      </w:r>
    </w:p>
    <w:p w14:paraId="61E0FE6F"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Next, we will review the nomination process.</w:t>
      </w:r>
    </w:p>
    <w:p w14:paraId="28923C03" w14:textId="636F14D3" w:rsidR="00F9748A" w:rsidRDefault="00F9748A"/>
    <w:p w14:paraId="206C2145" w14:textId="2DC7C220" w:rsidR="00F9748A" w:rsidRPr="00F9748A" w:rsidRDefault="00F9748A" w:rsidP="00F9748A">
      <w:pPr>
        <w:spacing w:line="360" w:lineRule="auto"/>
        <w:rPr>
          <w:b/>
          <w:bCs/>
        </w:rPr>
      </w:pPr>
      <w:r w:rsidRPr="00F9748A">
        <w:rPr>
          <w:b/>
          <w:bCs/>
        </w:rPr>
        <w:t>Slide 16</w:t>
      </w:r>
    </w:p>
    <w:p w14:paraId="5A3720E3"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 xml:space="preserve">Think of the local area as a whole and not individual counties. </w:t>
      </w:r>
      <w:r>
        <w:rPr>
          <w:rFonts w:ascii="Calibri" w:hAnsi="Calibri" w:cs="Calibri"/>
          <w:color w:val="000000"/>
          <w:kern w:val="24"/>
          <w:sz w:val="24"/>
          <w:szCs w:val="24"/>
        </w:rPr>
        <w:t xml:space="preserve">Part of the chief elected official's role is to set the foundation for the Local Workforce Development Board to be strategic by ensuring fiscal integrity and ensuring the local area is represented by committed and suitable Local Workforce Development Board members.  Thus, </w:t>
      </w:r>
      <w:r>
        <w:rPr>
          <w:rFonts w:ascii="Calibri" w:hAnsi="Calibri" w:cs="Calibri"/>
          <w:kern w:val="24"/>
          <w:sz w:val="24"/>
          <w:szCs w:val="24"/>
        </w:rPr>
        <w:t xml:space="preserve">it is crucial to </w:t>
      </w:r>
      <w:r>
        <w:rPr>
          <w:rFonts w:ascii="Calibri" w:hAnsi="Calibri" w:cs="Calibri"/>
          <w:color w:val="000000"/>
          <w:kern w:val="24"/>
          <w:sz w:val="24"/>
          <w:szCs w:val="24"/>
        </w:rPr>
        <w:t>appoint individuals to the Local Workforce Development Board that are qualified to lead </w:t>
      </w:r>
      <w:r>
        <w:rPr>
          <w:rFonts w:ascii="Calibri" w:hAnsi="Calibri" w:cs="Calibri"/>
          <w:color w:val="000000"/>
          <w:kern w:val="24"/>
          <w:sz w:val="24"/>
          <w:szCs w:val="24"/>
          <w:u w:val="single"/>
        </w:rPr>
        <w:t>and</w:t>
      </w:r>
      <w:r>
        <w:rPr>
          <w:rFonts w:ascii="Calibri" w:hAnsi="Calibri" w:cs="Calibri"/>
          <w:color w:val="000000"/>
          <w:kern w:val="24"/>
          <w:sz w:val="24"/>
          <w:szCs w:val="24"/>
        </w:rPr>
        <w:t> comply with the mandated requirements of board membership. </w:t>
      </w:r>
    </w:p>
    <w:p w14:paraId="0FF588B9" w14:textId="77777777" w:rsidR="00F9748A" w:rsidRDefault="00F9748A" w:rsidP="00F9748A">
      <w:pPr>
        <w:autoSpaceDE w:val="0"/>
        <w:autoSpaceDN w:val="0"/>
        <w:adjustRightInd w:val="0"/>
        <w:spacing w:after="0" w:line="240" w:lineRule="auto"/>
        <w:rPr>
          <w:rFonts w:ascii="Arial" w:hAnsi="Arial" w:cs="Arial"/>
          <w:sz w:val="24"/>
          <w:szCs w:val="24"/>
        </w:rPr>
      </w:pPr>
    </w:p>
    <w:p w14:paraId="4A5861F7" w14:textId="598AD608" w:rsidR="00F9748A" w:rsidRDefault="00F9748A" w:rsidP="00F9748A">
      <w:pPr>
        <w:spacing w:line="360" w:lineRule="auto"/>
      </w:pPr>
    </w:p>
    <w:p w14:paraId="47A6BEAB" w14:textId="14095FD6" w:rsidR="00F9748A" w:rsidRPr="00F9748A" w:rsidRDefault="00F9748A" w:rsidP="00F9748A">
      <w:pPr>
        <w:rPr>
          <w:b/>
          <w:bCs/>
        </w:rPr>
      </w:pPr>
      <w:r w:rsidRPr="00F9748A">
        <w:rPr>
          <w:b/>
          <w:bCs/>
        </w:rPr>
        <w:t>Slide 17</w:t>
      </w:r>
    </w:p>
    <w:p w14:paraId="726BABAC"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Let’s discuss the nomination of Local Workforce Development Board members:</w:t>
      </w:r>
    </w:p>
    <w:p w14:paraId="27A5DFB2"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Business representatives must be nominated by local business organizations or business trade associations and labor representatives must be nominated by local labor federations.  </w:t>
      </w:r>
    </w:p>
    <w:p w14:paraId="21836D08" w14:textId="77777777" w:rsidR="00F9748A" w:rsidRDefault="00F9748A" w:rsidP="00F9748A">
      <w:pPr>
        <w:autoSpaceDE w:val="0"/>
        <w:autoSpaceDN w:val="0"/>
        <w:adjustRightInd w:val="0"/>
        <w:spacing w:after="0" w:line="240" w:lineRule="auto"/>
        <w:rPr>
          <w:rFonts w:ascii="Calibri" w:hAnsi="Calibri" w:cs="Calibri"/>
          <w:color w:val="000000"/>
          <w:kern w:val="24"/>
          <w:sz w:val="24"/>
          <w:szCs w:val="24"/>
        </w:rPr>
      </w:pPr>
    </w:p>
    <w:p w14:paraId="49FA9CAE" w14:textId="77777777" w:rsidR="00F9748A" w:rsidRDefault="00F9748A" w:rsidP="00F9748A">
      <w:pPr>
        <w:numPr>
          <w:ilvl w:val="0"/>
          <w:numId w:val="2"/>
        </w:numPr>
        <w:autoSpaceDE w:val="0"/>
        <w:autoSpaceDN w:val="0"/>
        <w:adjustRightInd w:val="0"/>
        <w:spacing w:after="0" w:line="240" w:lineRule="auto"/>
        <w:rPr>
          <w:rFonts w:ascii="Calibri" w:hAnsi="Calibri" w:cs="Calibri"/>
          <w:color w:val="000000"/>
          <w:kern w:val="24"/>
          <w:sz w:val="24"/>
          <w:szCs w:val="24"/>
        </w:rPr>
      </w:pPr>
      <w:r>
        <w:rPr>
          <w:rFonts w:ascii="Calibri" w:hAnsi="Calibri" w:cs="Calibri"/>
          <w:color w:val="000000"/>
          <w:kern w:val="24"/>
          <w:sz w:val="24"/>
          <w:szCs w:val="24"/>
        </w:rPr>
        <w:t>If there is more than one local area provider of adult education services or multiples higher education institutions providing workforce activities, nominations must be solicited from those providers and institutions. This requirement provides for a representative selection process for these membership categories.  </w:t>
      </w:r>
    </w:p>
    <w:p w14:paraId="2E5991B5"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3D37A612" w14:textId="77777777" w:rsidR="00F9748A" w:rsidRDefault="00F9748A" w:rsidP="00F9748A">
      <w:pPr>
        <w:autoSpaceDE w:val="0"/>
        <w:autoSpaceDN w:val="0"/>
        <w:adjustRightInd w:val="0"/>
        <w:spacing w:after="0" w:line="240" w:lineRule="auto"/>
        <w:rPr>
          <w:rFonts w:ascii="Arial" w:hAnsi="Arial" w:cs="Arial"/>
          <w:sz w:val="24"/>
          <w:szCs w:val="24"/>
        </w:rPr>
      </w:pPr>
    </w:p>
    <w:p w14:paraId="2F649536" w14:textId="2D048C02" w:rsidR="00F9748A" w:rsidRPr="00F9748A" w:rsidRDefault="00F9748A" w:rsidP="00F9748A">
      <w:pPr>
        <w:spacing w:line="360" w:lineRule="auto"/>
        <w:rPr>
          <w:b/>
          <w:bCs/>
        </w:rPr>
      </w:pPr>
      <w:r w:rsidRPr="00F9748A">
        <w:rPr>
          <w:b/>
          <w:bCs/>
        </w:rPr>
        <w:t>Slide 18</w:t>
      </w:r>
    </w:p>
    <w:p w14:paraId="5191A77E"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Here we have identified suggested practices for finding the right people.</w:t>
      </w:r>
    </w:p>
    <w:p w14:paraId="5BD360EB"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5739F089" w14:textId="77777777" w:rsidR="00F9748A" w:rsidRDefault="00F9748A" w:rsidP="00F9748A">
      <w:pPr>
        <w:numPr>
          <w:ilvl w:val="0"/>
          <w:numId w:val="2"/>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Be mindful of the purpose of the local board</w:t>
      </w:r>
    </w:p>
    <w:p w14:paraId="64CD9773" w14:textId="77777777" w:rsidR="00F9748A" w:rsidRDefault="00F9748A" w:rsidP="00F9748A">
      <w:pPr>
        <w:numPr>
          <w:ilvl w:val="0"/>
          <w:numId w:val="2"/>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Develop a board member nomination and appointment process</w:t>
      </w:r>
    </w:p>
    <w:p w14:paraId="3E381542" w14:textId="77777777" w:rsidR="00F9748A" w:rsidRDefault="00F9748A" w:rsidP="00F9748A">
      <w:pPr>
        <w:numPr>
          <w:ilvl w:val="0"/>
          <w:numId w:val="2"/>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Include an application to be completed for anyone nominated to the board, and</w:t>
      </w:r>
    </w:p>
    <w:p w14:paraId="08944FD5" w14:textId="77777777" w:rsidR="00F9748A" w:rsidRDefault="00F9748A" w:rsidP="00F9748A">
      <w:pPr>
        <w:numPr>
          <w:ilvl w:val="0"/>
          <w:numId w:val="2"/>
        </w:numPr>
        <w:autoSpaceDE w:val="0"/>
        <w:autoSpaceDN w:val="0"/>
        <w:adjustRightInd w:val="0"/>
        <w:spacing w:after="0" w:line="240" w:lineRule="auto"/>
        <w:ind w:left="270" w:hanging="270"/>
        <w:rPr>
          <w:rFonts w:ascii="Calibri" w:hAnsi="Calibri" w:cs="Calibri"/>
          <w:kern w:val="24"/>
          <w:sz w:val="24"/>
          <w:szCs w:val="24"/>
        </w:rPr>
      </w:pPr>
      <w:r>
        <w:rPr>
          <w:rFonts w:ascii="Calibri" w:hAnsi="Calibri" w:cs="Calibri"/>
          <w:kern w:val="24"/>
          <w:sz w:val="24"/>
          <w:szCs w:val="24"/>
        </w:rPr>
        <w:t>Identify key industries within the local area to be represented on the board.</w:t>
      </w:r>
    </w:p>
    <w:p w14:paraId="3CC76377" w14:textId="77777777" w:rsidR="00F9748A" w:rsidRDefault="00F9748A" w:rsidP="00F9748A">
      <w:pPr>
        <w:autoSpaceDE w:val="0"/>
        <w:autoSpaceDN w:val="0"/>
        <w:adjustRightInd w:val="0"/>
        <w:spacing w:after="0" w:line="240" w:lineRule="auto"/>
        <w:rPr>
          <w:rFonts w:ascii="Calibri" w:hAnsi="Calibri" w:cs="Calibri"/>
          <w:kern w:val="24"/>
          <w:sz w:val="24"/>
          <w:szCs w:val="24"/>
        </w:rPr>
      </w:pPr>
    </w:p>
    <w:p w14:paraId="483F91D7" w14:textId="77777777" w:rsidR="00F9748A" w:rsidRDefault="00F9748A" w:rsidP="00F9748A">
      <w:pPr>
        <w:autoSpaceDE w:val="0"/>
        <w:autoSpaceDN w:val="0"/>
        <w:adjustRightInd w:val="0"/>
        <w:spacing w:after="0" w:line="240" w:lineRule="auto"/>
        <w:rPr>
          <w:rFonts w:ascii="Arial" w:hAnsi="Arial" w:cs="Arial"/>
          <w:sz w:val="24"/>
          <w:szCs w:val="24"/>
        </w:rPr>
      </w:pPr>
    </w:p>
    <w:p w14:paraId="5D3A9D46" w14:textId="49CAB521" w:rsidR="00F9748A" w:rsidRDefault="00F9748A" w:rsidP="00F9748A">
      <w:pPr>
        <w:spacing w:line="360" w:lineRule="auto"/>
      </w:pPr>
    </w:p>
    <w:p w14:paraId="00938C88" w14:textId="3782F335" w:rsidR="00F9748A" w:rsidRDefault="00F9748A">
      <w:r>
        <w:br w:type="page"/>
      </w:r>
    </w:p>
    <w:p w14:paraId="35B8FBC4" w14:textId="42280283" w:rsidR="00F9748A" w:rsidRPr="00F9748A" w:rsidRDefault="00F9748A" w:rsidP="00F9748A">
      <w:pPr>
        <w:spacing w:line="360" w:lineRule="auto"/>
        <w:rPr>
          <w:b/>
          <w:bCs/>
        </w:rPr>
      </w:pPr>
      <w:r w:rsidRPr="00F9748A">
        <w:rPr>
          <w:b/>
          <w:bCs/>
        </w:rPr>
        <w:lastRenderedPageBreak/>
        <w:t>Slide 19</w:t>
      </w:r>
    </w:p>
    <w:p w14:paraId="614DA3CF" w14:textId="7D03BAEB"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kern w:val="24"/>
          <w:sz w:val="24"/>
          <w:szCs w:val="24"/>
        </w:rPr>
        <w:t>In summary, you have developed a better understanding of the chief elected official’s responsibilities in appointing compliant Local Workforce Development Boards as well as the board’s purpose, roles and responsibilities, and membership composition.</w:t>
      </w:r>
    </w:p>
    <w:p w14:paraId="1326C8AD" w14:textId="77777777" w:rsidR="00F9748A" w:rsidRDefault="00F9748A" w:rsidP="00F9748A">
      <w:pPr>
        <w:autoSpaceDE w:val="0"/>
        <w:autoSpaceDN w:val="0"/>
        <w:adjustRightInd w:val="0"/>
        <w:spacing w:after="0" w:line="240" w:lineRule="auto"/>
      </w:pPr>
    </w:p>
    <w:p w14:paraId="537DD71F" w14:textId="673EEF95" w:rsidR="00F9748A" w:rsidRPr="00F9748A" w:rsidRDefault="00F9748A" w:rsidP="00F9748A">
      <w:pPr>
        <w:spacing w:line="360" w:lineRule="auto"/>
        <w:rPr>
          <w:b/>
          <w:bCs/>
        </w:rPr>
      </w:pPr>
      <w:r w:rsidRPr="00F9748A">
        <w:rPr>
          <w:b/>
          <w:bCs/>
        </w:rPr>
        <w:t>Slide 20</w:t>
      </w:r>
    </w:p>
    <w:p w14:paraId="7BEB996E" w14:textId="77777777" w:rsidR="00F9748A" w:rsidRDefault="00F9748A" w:rsidP="00F9748A">
      <w:pPr>
        <w:autoSpaceDE w:val="0"/>
        <w:autoSpaceDN w:val="0"/>
        <w:adjustRightInd w:val="0"/>
        <w:spacing w:after="0" w:line="240" w:lineRule="auto"/>
        <w:rPr>
          <w:rFonts w:ascii="Calibri" w:hAnsi="Calibri" w:cs="Calibri"/>
          <w:kern w:val="24"/>
          <w:sz w:val="24"/>
          <w:szCs w:val="24"/>
        </w:rPr>
      </w:pPr>
      <w:r>
        <w:rPr>
          <w:rFonts w:ascii="Calibri" w:hAnsi="Calibri" w:cs="Calibri"/>
          <w:color w:val="000000"/>
          <w:kern w:val="24"/>
          <w:sz w:val="24"/>
          <w:szCs w:val="24"/>
        </w:rPr>
        <w:t>Thank you for viewing this training on module on Appointing the Local Workforce Development Board.</w:t>
      </w:r>
    </w:p>
    <w:p w14:paraId="1869FC69" w14:textId="77777777" w:rsidR="00F9748A" w:rsidRDefault="00F9748A" w:rsidP="00F9748A">
      <w:pPr>
        <w:autoSpaceDE w:val="0"/>
        <w:autoSpaceDN w:val="0"/>
        <w:adjustRightInd w:val="0"/>
        <w:spacing w:after="0" w:line="240" w:lineRule="auto"/>
        <w:rPr>
          <w:rFonts w:ascii="Arial" w:hAnsi="Arial" w:cs="Arial"/>
          <w:sz w:val="24"/>
          <w:szCs w:val="24"/>
        </w:rPr>
      </w:pPr>
    </w:p>
    <w:p w14:paraId="400757DE" w14:textId="35050DE7" w:rsidR="00F9748A" w:rsidRDefault="00F9748A" w:rsidP="00F9748A">
      <w:pPr>
        <w:spacing w:line="360" w:lineRule="auto"/>
      </w:pPr>
    </w:p>
    <w:p w14:paraId="1DF334E1" w14:textId="77777777" w:rsidR="00F9748A" w:rsidRDefault="00F9748A" w:rsidP="00F9748A">
      <w:pPr>
        <w:spacing w:line="360" w:lineRule="auto"/>
      </w:pPr>
    </w:p>
    <w:sectPr w:rsidR="00F974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416C4046"/>
    <w:lvl w:ilvl="0">
      <w:numFmt w:val="bullet"/>
      <w:lvlText w:val="*"/>
      <w:lvlJc w:val="left"/>
    </w:lvl>
  </w:abstractNum>
  <w:num w:numId="1">
    <w:abstractNumId w:val="0"/>
    <w:lvlOverride w:ilvl="0">
      <w:lvl w:ilvl="0">
        <w:numFmt w:val="bullet"/>
        <w:lvlText w:val="•"/>
        <w:legacy w:legacy="1" w:legacySpace="0" w:legacyIndent="0"/>
        <w:lvlJc w:val="left"/>
        <w:rPr>
          <w:rFonts w:ascii="Calibri" w:hAnsi="Calibri" w:cs="Calibri" w:hint="default"/>
          <w:sz w:val="24"/>
        </w:rPr>
      </w:lvl>
    </w:lvlOverride>
  </w:num>
  <w:num w:numId="2">
    <w:abstractNumId w:val="0"/>
    <w:lvlOverride w:ilvl="0">
      <w:lvl w:ilvl="0">
        <w:numFmt w:val="bullet"/>
        <w:lvlText w:val="•"/>
        <w:legacy w:legacy="1" w:legacySpace="0" w:legacyIndent="0"/>
        <w:lvlJc w:val="left"/>
        <w:rPr>
          <w:rFonts w:ascii="Arial" w:hAnsi="Arial" w:cs="Arial" w:hint="default"/>
          <w:sz w:val="24"/>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48A"/>
    <w:rsid w:val="00F97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80E9C"/>
  <w15:chartTrackingRefBased/>
  <w15:docId w15:val="{A0CE0951-7896-4B7D-92CA-7C52FDD99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1512</Words>
  <Characters>8624</Characters>
  <Application>Microsoft Office Word</Application>
  <DocSecurity>0</DocSecurity>
  <Lines>71</Lines>
  <Paragraphs>20</Paragraphs>
  <ScaleCrop>false</ScaleCrop>
  <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Casertano, Laura</dc:creator>
  <cp:keywords/>
  <dc:description/>
  <cp:lastModifiedBy>Casertano, Laura</cp:lastModifiedBy>
  <cp:revision>1</cp:revision>
  <dcterms:created xsi:type="dcterms:W3CDTF">2022-06-23T19:14:00Z</dcterms:created>
  <dcterms:modified xsi:type="dcterms:W3CDTF">2022-06-23T19:23:00Z</dcterms:modified>
</cp:coreProperties>
</file>