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4DDF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Jim Doyle:</w:t>
      </w:r>
    </w:p>
    <w:p w14:paraId="40F40E2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Welcome to today's webcast on the requirements and considerations for WIOA unified and combined State Plan modifications for program years 2026 and 2027. We will walk through the process, legal requirements and key factors that states need to consider when preparing their plan modifications. Today's session will be led by Sara Hastings from the Office of Workforce Investment in the Employment and Training Administration, Lekesha Campbell from the Office of Career, Technical, and Adult Education, and Shannon Moler and myself, Jim Doyle, from Rehabilitation Service Administration. Each of us will cover different aspects of the modification process. The WIOA State Plan serves several purposes. First, it is a strategy document that reflects the governor's vision for workforce and education, and strategic guide for innovation and adaptation. Second, it provides a roadmap for compliance that ensures the statutory and regulatory requirements are met. This means it ensures your state meets all statutory and regulatory requirements under WIOA.</w:t>
      </w:r>
    </w:p>
    <w:p w14:paraId="6DCF6AD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Lastly, it is a living document. This means it evolves over time to reflect your state's continuous improvement efforts and changing conditions. For instance, if your state experiences a major economic shift such as a marked reduction in a specific sector of the economy or a surge in advanced manufacturing, the plan should be updated to include strategies for reskilling workers and aligning training programs with emerging industries. Another example, if your state adopts new technology-driven service delivery models like virtual career centers or AI-powered job matching tools, those innovations should be incorporated into the plan. Similarly, if you redesign local workforce areas or introduced new regional planning structures, those changes must be documented in the modifications. Think of a state plan as both a strategic guide for innovation and adaptation, and a roadmap for compliance. The state plan includes several key components, identifying the plan type, strategic and operational elements, coordination with partner programs, common assurances, and program-specific requirements. Our objective today are to help you understand the submission process, review legal requirements, discuss external drivers and programmatic consideration, and shared resources and strategies to support your planning efforts.</w:t>
      </w:r>
    </w:p>
    <w:p w14:paraId="4943C72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2:</w:t>
      </w:r>
    </w:p>
    <w:p w14:paraId="483BEA6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States must submit a plan modification every two years. For this cycle, the deadline is March 3rd, 2026, or up to April 30th with an approved extension. Submissions must address elements outlined in the OMB approved ICR and be uploaded to the WIOA State Plan portal. Please note the new portal web address. The WIOA State Plan portal is the central platform for submitting and editing your plan. Multiple editors can work on content, but only one designated individual can submit the final plan on behalf of the governor. That designation must be confirmed by February 15th, 2026, and sent to wioa.plan@dol.gov with a copy to your ETA regional office. Additionally, the portal retains previously approved content for easy editing and offers technical assistance resources and job aids to guide you through the process. One important update, the portal has transitioned from U.S. Department of Education servers to U.S. Department of Labor Servers.</w:t>
      </w:r>
    </w:p>
    <w:p w14:paraId="3D9D277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This move was made to foster increased interagency integration and streamline the coordination between education and workforce systems. The shared effort is consistent with Executive Order number 14278 signed on April 23rd, 2025, which calls for a coordinated federal and educational workforce system. The goal is to provide states with a unified platform that supports alignment across programs, reduces duplication, and enhances data sharing. Developing a state plan modification is not just a compliance exercise, it is a collaborative process that requires input from multiple stakeholders. First, the modification must be developed with the State Workforce Development Board and administrators who have policymaking authority for the core programs and required one-stop partners. This ensures that decisions reflect both strategic priorities and operational realities across the workforce system. </w:t>
      </w:r>
      <w:r>
        <w:rPr>
          <w:rFonts w:ascii="Calibri" w:eastAsia="Calibri" w:hAnsi="Calibri" w:cs="Calibri"/>
          <w:color w:val="000000"/>
          <w:sz w:val="22"/>
        </w:rPr>
        <w:lastRenderedPageBreak/>
        <w:t>Second, stakeholder engagement and public comment are mandatory before submission. This means states should actively seek input from local workforce boards, education partners, employers, labor organizations, community-based organizations, and individuals who represent populations served by WIOA programs.</w:t>
      </w:r>
    </w:p>
    <w:p w14:paraId="5100188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For example, hosting virtual town halls or publishing draft plans for public review can help gather meaningful feedback. States may change from a unified state plan to a combined state plan during the modification process. This can be a strategic move to include additional partners such as Perkins V programs, creating stronger alignment between education and workforce systems. For instance, integrating career and technical education programs can help ensure that training pathways reflect industry needs and lead to recognized credentials. This collaborative approach is consistent with Executive Order number 14278, which emphasizes interagency coordination to build a unified federal education and workforce system. By engaging stakeholders early and broadly, states can create plans that are not only compliant but also innovative and responsive to economic and labor market changes. States are strongly encouraged to consider combined state planning with Perkins V as a way to strengthen coordination across workforce and career and technical education systems.</w:t>
      </w:r>
    </w:p>
    <w:p w14:paraId="0BBB0A5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To support this effort, the Perkins State Plan timeline has been aligned with the WIOA State Plan cycle to allow states time to coordinate planning more strategically, engage stakeholders, and streamline plan development and submission. The departments encourage states to combine the Perkins Comprehensive Local Needs Assessment and the WIOA stakeholder engagement processes to develop shared, regional and statewide lists of credentials of value and high-skill, high-wage in-demand sectors and occupations. Once your State Plan modification is submitted through the portal, the federal review process begins. This review is conducted jointly by the U.S. Department of Labor and the U.S. Department of Education, along with other relevant federal partners for combined State Plans. The review period lasts 90 days from the date of submission. During this time, federal agencies will assess whether your plan meets all statutory and regulatory requirements under WIOA. They will also evaluate whether the plan reflects the necessary strategic and operational elements, including performance targets and alignment with federal priorities such as integrated service delivery and accountability.</w:t>
      </w:r>
    </w:p>
    <w:p w14:paraId="218907D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At the end of the review period, the departments will issue a formal decision notification to the state. If the plan is approved, it will be posted publicly on the WIOA State Plan portal. This public posting includes enhanced search features, allowing stakeholders and the general public to easily access and review approved plans. States should anticipate potential follow-up questions during the review period, and be prepared to provide clarifications or additional documentation if requested. Proactive communication with your ETA regional office can help streamline this process. When preparing your State plan modification, WIOA requires that certain content areas be updated to reflect changes that have occurred since the original plan was approved. At a minimum, states must address changes in the labor market and economic conditions. For example, if your state has seen significant growth in advanced manufacturing or clean energy sectors, your plan should include strategies to train workers for these emerging industries. Conversely, if certain sectors like retail or hospitality have declined, the plan should outline reskilling efforts for displaced workers.</w:t>
      </w:r>
    </w:p>
    <w:p w14:paraId="20FDD71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Performance targets for program years 2026 and 2027. WIOA uses statistical adjustment model, often referred to as the regression model, to set and evaluate performance targets. This model accounts for economic conditions, participant characteristics, and program factors to ensure targets are fair and achievable. States should review how these adjustments may impact negotiated levels and incorporate that analysis into planning. Other factors affecting implementation. This category includes major structural or policy changes. Examples, reorganization of state agencies administering WIOA programs, such as merging workforce and education departments, redesignation of local workforce areas or creation of new planning regions to better align with economic development zones, changes in sub-state </w:t>
      </w:r>
      <w:r>
        <w:rPr>
          <w:rFonts w:ascii="Calibri" w:eastAsia="Calibri" w:hAnsi="Calibri" w:cs="Calibri"/>
          <w:color w:val="000000"/>
          <w:sz w:val="22"/>
        </w:rPr>
        <w:lastRenderedPageBreak/>
        <w:t>funding allocations to prioritize high-growth regions, adoption of new technology platforms for intake and case management, which may require updated operational strategies. The goal is to ensure your plan reflects the current reality, and positions your workforce system to respond effectively to future challenges. Think of this as an opportunity to align your strategies with evolving labor market trends and federal priorities.</w:t>
      </w:r>
    </w:p>
    <w:p w14:paraId="4530372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3:</w:t>
      </w:r>
    </w:p>
    <w:p w14:paraId="65C007A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Our planning priorities align with America's Talent Strategy, which includes five pillars, industry-driven strategies, worker mobility, integrated systems, accountability, and flexibility and innovation. Pillar one focuses on aligning workforce programs with industry skill demands. Employers are the best source for defining what skills are truly in demand, and they should validate the training models we use. Why is this important? If training programs do not reflect real-world needs, participants may earn credentials that do not lead to employment. Industry-driven strategies ensure that workforce investments produce measurable results for both workers and businesses. Key strategies, prioritize registered apprenticeships. Apprenticeships provide structured earn-while-you-learn opportunities that meet employer standards. For example, states can expand apprenticeships in high-growth sectors like cybersecurity, advanced manufacturing, and healthcare. Form industry sector partnerships. These partnerships bring together employers, education providers, and workforce agencies to design training programs. For instance, a state might convene a technology sector partnership to address shortages in software development and data analytics.</w:t>
      </w:r>
    </w:p>
    <w:p w14:paraId="12F1F4D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Align training to career pathways. Training should lead to stackable credentials that build toward higher level certifications and degrees. For example, a pathway in healthcare might start with a certified nursing assistant credential and then progress to licensed practical nurse and registered nurse. Invest in employer-led upskilling initiatives. Employers often need to retrain existing workers for new technologies. States can support these efforts through incumbent worker training grants or tax incentives. For example, a manufacturing company transitioning to robotics could receive support to upskill its workforce. Industry driven strategies ensure that workforce systems remain responsive to economic changes and technological advancements. They also strengthen partnerships between employers and the public workforce system, creating a pipeline of talent that meets current and future needs. Pillar two focuses on enabling upward mobility and economic independence for workers, this means creating systems and strategies that help individuals move into higher paying in-demand jobs, and navigate career changes effectively.</w:t>
      </w:r>
    </w:p>
    <w:p w14:paraId="6749F8C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Why is this important? Workers today face rapid changes in technology and industry demands. Without clear pathways and tools, they risk being left behind. Key strategies, identify valued credentials. States should work with employers to determine which credentials have real labor market value. For example, certifications in cloud computing or cybersecurity are highly sought after in the tech sector. Develop customer choice policies, give job seekers the ability to select training programs that best fit their career goals. This could include expanding individual training accounts and providing transparent performance data on training providers. Integrate AI powered tools and competency based assessments. AI tools can help match individuals to jobs based on skills rather than just job titles. Competency based assessments allow workers to demonstrate skills they already have, reducing time and costs for training. Connect disconnected workers to training. Target populations such as long-term unemployed individuals, just as involved individuals and those in rural areas.</w:t>
      </w:r>
    </w:p>
    <w:p w14:paraId="1BD8BD2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For example, mobile training labs or virtual learning platforms can help reach workers who cannot access traditional training centers. Worker mobility strategies ensure that individuals have the tools and opportunities to advance in a dynamic labor market. Pillar three. Pillar three emphasizes creating a workforce system that is unified and user-friendly. Job seekers and employers should experience a </w:t>
      </w:r>
      <w:r>
        <w:rPr>
          <w:rFonts w:ascii="Calibri" w:eastAsia="Calibri" w:hAnsi="Calibri" w:cs="Calibri"/>
          <w:color w:val="000000"/>
          <w:sz w:val="22"/>
        </w:rPr>
        <w:lastRenderedPageBreak/>
        <w:t>seamless process when accessing services. Why is this important? Fragmented systems create barriers and inefficiencies, integration improves customer experience and maximizes resources. Key strategies, integrate funding streams and eligibility standards. For example, aligning WIOA and Perkins V eligibility criteria can reduce duplication and simplify access for participants. Scale virtual service delivery. Virtual career centers and online job fairs allow states to serve customers who cannot visit physical locations. Streamline intake processes, implement a single intake system that captures data for multiple programs. For instance, a unified application can reduce paperwork and speed up enrollment. Implement digital tools for navigation. Tools like online dashboards can help job seekers track progress and employers post job openings easily. Integrated systems can create efficiency and improve outcomes by reducing administrative burden and enhancing service delivery.</w:t>
      </w:r>
    </w:p>
    <w:p w14:paraId="64DCA3F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Pillar four focuses on ensuring that workforce programs deliver measurable results. Accountability is critical for maintaining public trust and ensuring effective use of resources. Key strategies, tie funding to outcomes like pay-for-performance. States can allocate funds based on measurable results such as job placement rates or credential attainment. Adopt state-driven performance measures. In addition to federal measures, states can track metrics that reflect local priorities such as wage progression or employer satisfaction. Enhance data linkages for ROI analysis. Linking workforce data with education and economic data allows states to measure return on investment. For example, tracking earnings of program graduates over time can demonstrate program impact. Redirect funds to successful programs. Programs that consistently fail to meet performance standards should be restructured or defunded, while high performing programs receive additional support. Accountability ensures that workforce investments produce tangible benefits for workers, employers, and taxpayers. Pillar five emphasizes the need for workforce systems to adapt quickly to economic shifts and embrace innovation.</w:t>
      </w:r>
    </w:p>
    <w:p w14:paraId="7F8AC95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Key strategies, leverage statutory flexibility. Use provisions in WIOA that allow states to customize service delivery models. For example, states can request waivers to pilot new approaches. Braid federal and state funding streams. Combining resources from multiple programs can support comprehensive solutions. For instance, rating WIOA funds with a state economic development grants to support regional training initiatives. Develop AI era workforce models, incorporate artificial intelligence into job matching skills assessment and labor market forecasting. Prioritize AI literacy and rapid reskilling pilots, launch short-term training programs focused on digital skills and AI literacy to prepare workers for emerging technologies. Flexibility and innovation allow states to respond to disruptions and position the workforce systems for long-term success. These executive orders prohibit discriminatory activities. Please ensure compliance with federal civil rights laws. Grantees must not use federal funds for activities violating these laws. Risks of noncompliance, enforcement actions under GEPA. States are encouraged to use the waiver process and </w:t>
      </w:r>
      <w:proofErr w:type="spellStart"/>
      <w:r>
        <w:rPr>
          <w:rFonts w:ascii="Calibri" w:eastAsia="Calibri" w:hAnsi="Calibri" w:cs="Calibri"/>
          <w:color w:val="000000"/>
          <w:sz w:val="22"/>
        </w:rPr>
        <w:t>WorkFlex</w:t>
      </w:r>
      <w:proofErr w:type="spellEnd"/>
      <w:r>
        <w:rPr>
          <w:rFonts w:ascii="Calibri" w:eastAsia="Calibri" w:hAnsi="Calibri" w:cs="Calibri"/>
          <w:color w:val="000000"/>
          <w:sz w:val="22"/>
        </w:rPr>
        <w:t xml:space="preserve"> authority to reduce barriers and promote innovation in workforce service delivery.</w:t>
      </w:r>
    </w:p>
    <w:p w14:paraId="0A5AF88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Waivers allow states to test new approaches that may not fit neatly within existing statutory requirements, while </w:t>
      </w:r>
      <w:proofErr w:type="spellStart"/>
      <w:r>
        <w:rPr>
          <w:rFonts w:ascii="Calibri" w:eastAsia="Calibri" w:hAnsi="Calibri" w:cs="Calibri"/>
          <w:color w:val="000000"/>
          <w:sz w:val="22"/>
        </w:rPr>
        <w:t>WorkFlex</w:t>
      </w:r>
      <w:proofErr w:type="spellEnd"/>
      <w:r>
        <w:rPr>
          <w:rFonts w:ascii="Calibri" w:eastAsia="Calibri" w:hAnsi="Calibri" w:cs="Calibri"/>
          <w:color w:val="000000"/>
          <w:sz w:val="22"/>
        </w:rPr>
        <w:t xml:space="preserve"> provides additional flexibility at the local level to meet unique regional needs. Submit waiver requests with state plan modification. States can include waivers as part of the modification submission during a full plan cycle, or anytime. Review existing waivers for renewal. If your state currently has approved waivers, review them to determine whether they should be reviewed or revised based on changing priorities. Consider workforce flexibility or </w:t>
      </w:r>
      <w:proofErr w:type="spellStart"/>
      <w:r>
        <w:rPr>
          <w:rFonts w:ascii="Calibri" w:eastAsia="Calibri" w:hAnsi="Calibri" w:cs="Calibri"/>
          <w:color w:val="000000"/>
          <w:sz w:val="22"/>
        </w:rPr>
        <w:t>WorkFlex</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WorkFlex</w:t>
      </w:r>
      <w:proofErr w:type="spellEnd"/>
      <w:r>
        <w:rPr>
          <w:rFonts w:ascii="Calibri" w:eastAsia="Calibri" w:hAnsi="Calibri" w:cs="Calibri"/>
          <w:color w:val="000000"/>
          <w:sz w:val="22"/>
        </w:rPr>
        <w:t xml:space="preserve"> authority allows states to grant local areas flexibility in certain provisions, such as local funding agreements, provider eligibility requirements, or even aspects of the Older Americans Act. These tools are designed to encourage innovation and responsiveness, they allow states and local areas to tailor workforce strategies to meet the needs of employers and job seekers in a rapidly changing economy. While considering waivers or </w:t>
      </w:r>
      <w:proofErr w:type="spellStart"/>
      <w:r>
        <w:rPr>
          <w:rFonts w:ascii="Calibri" w:eastAsia="Calibri" w:hAnsi="Calibri" w:cs="Calibri"/>
          <w:color w:val="000000"/>
          <w:sz w:val="22"/>
        </w:rPr>
        <w:t>WorkFlex</w:t>
      </w:r>
      <w:proofErr w:type="spellEnd"/>
      <w:r>
        <w:rPr>
          <w:rFonts w:ascii="Calibri" w:eastAsia="Calibri" w:hAnsi="Calibri" w:cs="Calibri"/>
          <w:color w:val="000000"/>
          <w:sz w:val="22"/>
        </w:rPr>
        <w:t>, ensure that proposals align with WIOA's goal of improving access, enhancing quality, and delivering measurable outcomes.</w:t>
      </w:r>
    </w:p>
    <w:p w14:paraId="5EFE336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Speaker 4:</w:t>
      </w:r>
    </w:p>
    <w:p w14:paraId="5907E69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 addition to the core requirements, states should consider several emerging priorities when developing their plan modifications. Reassess labor market information, or LMI. States should analyze current and projected trends to identify growing and declining industries, occupations and skills. For example, if data show rapid growth in AI-related fields, your plan should include strategies for training workers in these areas. Use LMI tools and employer surveys to validate demand. Align training with employer needs and competencies, ensure training programs lead to credentials that employers value. Prepare for workforce Pell grants. These grants will support short-term, high-quality training programs ranging from 150 to 600 clocked hours, 8 to 15 weeks.</w:t>
      </w:r>
    </w:p>
    <w:p w14:paraId="1F27053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Programs should result in portable stackable credentials that articulate to credit-bearing pathways, for example, a short-term IT help desk credential that stacks towards a cybersecurity degree. Enhance system integration and data sharing, share LMI across agencies to support coordinated planning. Integrate data systems to meet Perkins V needs assessments, and improve cross-program alignment. Other considerations for modifications. Governor and state legislative actions affecting education and workforce development, identified opportunities during the last two years to expand program integration and alignment, guidance issued for specific programs that might have impacted state policies and practices for program delivery.</w:t>
      </w:r>
    </w:p>
    <w:p w14:paraId="36FF728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Formal evaluations and monitoring that have impacted both the delivery and measurement of services since the approval of the four-year plan, and analysis of continuous improvement outcomes and incorporation of customer-centered design results. Additional resources related to WIOA State Plan requirements can be found on the departments of education and labor's websites, including links to the program year 2026 and 2027 State Plan Modification Guidance. Links to the information collection request and other technical assistance resources may also be helpful as states think about the WIOA State Plan process. Thank you for joining today's webcast on WIOA State Plan modifications for program years 2026 and 2027. Next steps for states include confirm your governor's designated submitter by February 15th, 2026. Begin stakeholder engagement and public comment processes now. Review your current plan and identify areas for modification based on today's guidance. Explore waiver opportunities and </w:t>
      </w:r>
      <w:proofErr w:type="spellStart"/>
      <w:r>
        <w:rPr>
          <w:rFonts w:ascii="Calibri" w:eastAsia="Calibri" w:hAnsi="Calibri" w:cs="Calibri"/>
          <w:color w:val="000000"/>
          <w:sz w:val="22"/>
        </w:rPr>
        <w:t>WorkFlex</w:t>
      </w:r>
      <w:proofErr w:type="spellEnd"/>
      <w:r>
        <w:rPr>
          <w:rFonts w:ascii="Calibri" w:eastAsia="Calibri" w:hAnsi="Calibri" w:cs="Calibri"/>
          <w:color w:val="000000"/>
          <w:sz w:val="22"/>
        </w:rPr>
        <w:t xml:space="preserve"> options to enhance flexibility. Access resources on workforce GPS, TEGLs, PMs, TACs, and the WIOA portal for detailed instructions. Instructions. Your efforts will help build a coordinated, innovative workforce system that meets the needs of job seekers, employers, and communities.</w:t>
      </w:r>
    </w:p>
    <w:p w14:paraId="00D8BE2C" w14:textId="77777777" w:rsidR="00A77B3E" w:rsidRDefault="00A77B3E">
      <w:pPr>
        <w:spacing w:before="80"/>
        <w:rPr>
          <w:rFonts w:ascii="Calibri" w:eastAsia="Calibri" w:hAnsi="Calibri" w:cs="Calibri"/>
          <w:color w:val="000000"/>
          <w:sz w:val="22"/>
        </w:rPr>
      </w:pPr>
    </w:p>
    <w:sectPr w:rsidR="00A77B3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07CB9" w14:textId="77777777" w:rsidR="00440DBE" w:rsidRDefault="00440DBE">
      <w:r>
        <w:separator/>
      </w:r>
    </w:p>
  </w:endnote>
  <w:endnote w:type="continuationSeparator" w:id="0">
    <w:p w14:paraId="713B803C" w14:textId="77777777" w:rsidR="00440DBE" w:rsidRDefault="00440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CDF7" w14:textId="77777777" w:rsidR="00DD582D" w:rsidRDefault="00DD58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B06E40" w14:paraId="47EB8DE3" w14:textId="77777777">
      <w:tc>
        <w:tcPr>
          <w:tcW w:w="4000" w:type="pct"/>
          <w:tcBorders>
            <w:top w:val="nil"/>
            <w:left w:val="nil"/>
            <w:bottom w:val="nil"/>
            <w:right w:val="nil"/>
          </w:tcBorders>
          <w:noWrap/>
        </w:tcPr>
        <w:p w14:paraId="540E0F69" w14:textId="57E47821" w:rsidR="00B06E40" w:rsidRDefault="00B06E40"/>
      </w:tc>
      <w:tc>
        <w:tcPr>
          <w:tcW w:w="1000" w:type="pct"/>
          <w:tcBorders>
            <w:top w:val="nil"/>
            <w:left w:val="nil"/>
            <w:bottom w:val="nil"/>
            <w:right w:val="nil"/>
          </w:tcBorders>
          <w:noWrap/>
        </w:tcPr>
        <w:p w14:paraId="3A722468" w14:textId="77777777" w:rsidR="00B06E40" w:rsidRDefault="00000000">
          <w:pPr>
            <w:jc w:val="right"/>
          </w:pPr>
          <w:r>
            <w:t xml:space="preserve">Page </w:t>
          </w:r>
          <w:r>
            <w:fldChar w:fldCharType="begin"/>
          </w:r>
          <w:r>
            <w:instrText>PAGE</w:instrText>
          </w:r>
          <w:r>
            <w:fldChar w:fldCharType="separate"/>
          </w:r>
          <w:r w:rsidR="00DD582D">
            <w:rPr>
              <w:noProof/>
            </w:rPr>
            <w:t>1</w:t>
          </w:r>
          <w:r>
            <w:fldChar w:fldCharType="end"/>
          </w:r>
          <w:r>
            <w:t xml:space="preserve"> of </w:t>
          </w:r>
          <w:r>
            <w:fldChar w:fldCharType="begin"/>
          </w:r>
          <w:r>
            <w:instrText>NUMPAGES</w:instrText>
          </w:r>
          <w:r>
            <w:fldChar w:fldCharType="separate"/>
          </w:r>
          <w:r w:rsidR="00DD582D">
            <w:rPr>
              <w:noProof/>
            </w:rPr>
            <w:t>2</w:t>
          </w:r>
          <w:r>
            <w:fldChar w:fldCharType="end"/>
          </w:r>
        </w:p>
      </w:tc>
    </w:tr>
  </w:tbl>
  <w:p w14:paraId="32AF0AB8" w14:textId="77777777" w:rsidR="00B06E40" w:rsidRDefault="00B06E4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04E80" w14:textId="77777777" w:rsidR="00DD582D" w:rsidRDefault="00DD5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226EE" w14:textId="77777777" w:rsidR="00440DBE" w:rsidRDefault="00440DBE">
      <w:r>
        <w:separator/>
      </w:r>
    </w:p>
  </w:footnote>
  <w:footnote w:type="continuationSeparator" w:id="0">
    <w:p w14:paraId="0A14E88D" w14:textId="77777777" w:rsidR="00440DBE" w:rsidRDefault="00440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343B3" w14:textId="77777777" w:rsidR="00DD582D" w:rsidRDefault="00DD58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4"/>
    </w:tblGrid>
    <w:tr w:rsidR="00B06E40" w14:paraId="2D408AB6" w14:textId="77777777">
      <w:tc>
        <w:tcPr>
          <w:tcW w:w="5000" w:type="pct"/>
          <w:tcBorders>
            <w:top w:val="nil"/>
            <w:left w:val="nil"/>
            <w:bottom w:val="nil"/>
            <w:right w:val="nil"/>
          </w:tcBorders>
          <w:noWrap/>
        </w:tcPr>
        <w:p w14:paraId="24A6C782" w14:textId="3CC11F8F" w:rsidR="00B06E40" w:rsidRDefault="00DD582D">
          <w:pPr>
            <w:rPr>
              <w:color w:val="000000"/>
            </w:rPr>
          </w:pPr>
          <w:r w:rsidRPr="00DD582D">
            <w:rPr>
              <w:color w:val="808080"/>
            </w:rPr>
            <w:t>Requirements and Considerations for WIOA Unified and Combined State Plan Modification Overview</w:t>
          </w:r>
        </w:p>
      </w:tc>
    </w:tr>
  </w:tbl>
  <w:p w14:paraId="201642B5" w14:textId="77777777" w:rsidR="00B06E40" w:rsidRDefault="00B06E4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2DED" w14:textId="77777777" w:rsidR="00DD582D" w:rsidRDefault="00DD58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440DBE"/>
    <w:rsid w:val="00A77B3E"/>
    <w:rsid w:val="00B06E40"/>
    <w:rsid w:val="00CA2A55"/>
    <w:rsid w:val="00D47754"/>
    <w:rsid w:val="00DD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AD96FC5"/>
  <w15:docId w15:val="{2F1F7560-DD6E-47F6-A5DC-FF49711DF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582D"/>
    <w:pPr>
      <w:tabs>
        <w:tab w:val="center" w:pos="4680"/>
        <w:tab w:val="right" w:pos="9360"/>
      </w:tabs>
    </w:pPr>
  </w:style>
  <w:style w:type="character" w:customStyle="1" w:styleId="HeaderChar">
    <w:name w:val="Header Char"/>
    <w:basedOn w:val="DefaultParagraphFont"/>
    <w:link w:val="Header"/>
    <w:rsid w:val="00DD582D"/>
    <w:rPr>
      <w:sz w:val="24"/>
      <w:szCs w:val="24"/>
    </w:rPr>
  </w:style>
  <w:style w:type="paragraph" w:styleId="Footer">
    <w:name w:val="footer"/>
    <w:basedOn w:val="Normal"/>
    <w:link w:val="FooterChar"/>
    <w:rsid w:val="00DD582D"/>
    <w:pPr>
      <w:tabs>
        <w:tab w:val="center" w:pos="4680"/>
        <w:tab w:val="right" w:pos="9360"/>
      </w:tabs>
    </w:pPr>
  </w:style>
  <w:style w:type="character" w:customStyle="1" w:styleId="FooterChar">
    <w:name w:val="Footer Char"/>
    <w:basedOn w:val="DefaultParagraphFont"/>
    <w:link w:val="Footer"/>
    <w:rsid w:val="00DD582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3058</Words>
  <Characters>17437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Bryan Thomas</cp:lastModifiedBy>
  <cp:revision>2</cp:revision>
  <dcterms:created xsi:type="dcterms:W3CDTF">2026-02-18T18:25:00Z</dcterms:created>
  <dcterms:modified xsi:type="dcterms:W3CDTF">2026-02-18T18:25:00Z</dcterms:modified>
</cp:coreProperties>
</file>