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55BB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 Slaughter:</w:t>
      </w:r>
    </w:p>
    <w:p w14:paraId="128B52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and welcome to the Grant Performance Assessment webcast from the Senior Community Service Employment Program here at the Department of Labor. My name is Ali Slaughter and I'm a workforce development specialist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the Employment</w:t>
      </w:r>
      <w:proofErr w:type="gramEnd"/>
      <w:r>
        <w:rPr>
          <w:rFonts w:ascii="Calibri" w:eastAsia="Calibri" w:hAnsi="Calibri" w:cs="Calibri"/>
          <w:color w:val="000000"/>
          <w:sz w:val="22"/>
        </w:rPr>
        <w:t xml:space="preserve"> and Training Administration. I have with me here Dr. Ron Schack, managing director of the Charter Oak </w:t>
      </w:r>
      <w:proofErr w:type="gramStart"/>
      <w:r>
        <w:rPr>
          <w:rFonts w:ascii="Calibri" w:eastAsia="Calibri" w:hAnsi="Calibri" w:cs="Calibri"/>
          <w:color w:val="000000"/>
          <w:sz w:val="22"/>
        </w:rPr>
        <w:t>Group</w:t>
      </w:r>
      <w:proofErr w:type="gramEnd"/>
      <w:r>
        <w:rPr>
          <w:rFonts w:ascii="Calibri" w:eastAsia="Calibri" w:hAnsi="Calibri" w:cs="Calibri"/>
          <w:color w:val="000000"/>
          <w:sz w:val="22"/>
        </w:rPr>
        <w:t xml:space="preserve"> and SSCSEP performance expert. This webcast aims to describe the process of SCSEP Grant Performance Assessment, or GPA, from start to finish. We'll look at the data sources and SCSEP elements that connect to the GPA, including negotiated performance goals, the SCSEP Statistical Adjustment Model and the quarterly performance report. We'll demonstrate how to interpret the grantee performance evaluation document, and lastly, we will review the statutory implications of the assessment.</w:t>
      </w:r>
    </w:p>
    <w:p w14:paraId="05F7DA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Let's begin with a brief overview of the Grant Performance Assessment and the data sources that connect to it. The Department of Labor assesses the performance of the core SCSEP measures annually following the conclusion of each program year. Actual performance calculated on the end-of-year quarterly performance report is compared to negotiated performance goals after adjusting goals using the Statistical Adjustment Model. The seven core SCSEP performance measures include employment rate second quarter after exit, employment rate fourth quarter after exit, median earning second quarter after exit, hours in the aggregate of community service, number of eligible individuals served, number of most in need individuals served, indicators of effectiveness in serving employers, host agencies and project participants.</w:t>
      </w:r>
    </w:p>
    <w:p w14:paraId="108673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w:t>
      </w:r>
      <w:proofErr w:type="gramStart"/>
      <w:r>
        <w:rPr>
          <w:rFonts w:ascii="Calibri" w:eastAsia="Calibri" w:hAnsi="Calibri" w:cs="Calibri"/>
          <w:color w:val="000000"/>
          <w:sz w:val="22"/>
        </w:rPr>
        <w:t>department historically</w:t>
      </w:r>
      <w:proofErr w:type="gramEnd"/>
      <w:r>
        <w:rPr>
          <w:rFonts w:ascii="Calibri" w:eastAsia="Calibri" w:hAnsi="Calibri" w:cs="Calibri"/>
          <w:color w:val="000000"/>
          <w:sz w:val="22"/>
        </w:rPr>
        <w:t xml:space="preserve"> has excluded some measures from a specific program year's evaluation due to performance measure changes in the statute or grant transition years with changes to the distribution of service areas. And now I will hand things over to Ron.</w:t>
      </w:r>
    </w:p>
    <w:p w14:paraId="11046AD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Dr. Ron Schack:</w:t>
      </w:r>
    </w:p>
    <w:p w14:paraId="71845C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Let's discuss the data sources used in the annual assessment starting with actual performance. The performance of a grant on each core measure is documented through the Quarterly Performance Report, or QPR. QPRs summarize information on a grant's participants, services and performance indicators. Official QPRs is submitted quarterly and an annual QPR summarizes all four quarters of the program year.</w:t>
      </w:r>
    </w:p>
    <w:p w14:paraId="7DEFC1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Performance on the core measures in SCSEP are calculated and documented in section B of the QPR except for the effectiveness measure, which is calculated outside of the QPR using the customer satisfaction surveys. Section A of the QPR is also used in the performance evaluation process. We'll further discuss the role of demographics and goal setting and adjusting in the next few slides.</w:t>
      </w:r>
    </w:p>
    <w:p w14:paraId="71E328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negotiates expected performance levels for the seven core measures with SCSEP grantees on a two-year basis. Goals are negotiated for the first and second years of the grant cycle together, and then again for the third and fourth years of the grant cycle. In setting proposed goals, past performance of each grantee is the basis for the proposed goals, while considering levels that promote continuous improvement and comparable levels across grantees.</w:t>
      </w:r>
    </w:p>
    <w:p w14:paraId="32999F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uses a Statistical Adjustment Model, or SAM, to adjust the three employment or exit measures based on economic conditions and participant characteristics. Census data are used for economic adjustments. GPMS demographics data are used for the participant characteristics adjustment. The negotiated and agreed-upon levels of performance set before the start of the program year are used in their corresponding Grant Performance Assessment at the end of the program year.</w:t>
      </w:r>
    </w:p>
    <w:p w14:paraId="4A80EA1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During the Grant Performance Assessment process, the goals for the employment-based measures are again adjusted using updated census and GPMS data to apply actual conditions over the program year. In the economic adjustments, the most recently available county-level census data are used to develop weighted estimates for each grantee for poverty level, unemployment rate and average weekly wage rate. For participant characteristics, the SAM identifies characteristics that had a statistically significant effect on employment outcomes.</w:t>
      </w:r>
    </w:p>
    <w:p w14:paraId="4EA273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Customized weighted estimates are created for each grantee for the three categories of economic adjustments. These estimates are the sum of county-level rates weighted by the number of authorized positions the grantee has in each county to reflect their service area. Through a quartile system, grantees with rates above the nationwide average, meaning they are harder to serve areas, have points subtracted from their goals, lowering the threshold of the measure. Note that economic adjustments are only unidirectional, unlike characteristic adjustments that we'll discuss in a moment that are bidirectional. Adjustments are still subject to caps or upper limits and floors or lower limits.</w:t>
      </w:r>
    </w:p>
    <w:p w14:paraId="49488A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Let's look at an example of an economic adjustment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the unemployment rate. A weighted unemployment rate is calculated for each grantee. Then based on that weighted rate, each grantee is distributed into quartiles. Grantees that were above the 75th percentile get five adjustment points on that factor. Those that were above 50%... Sorry. Start over. Start that over.</w:t>
      </w:r>
    </w:p>
    <w:p w14:paraId="7EFFB9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Let's look at an example of an economic adjustment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the unemployment rate. A weighted unemployment rate is calculated for each grantee. Then based on the weighted rate, the grantee's scores are distributed into quartiles. Grantees that were above the 75th percentile got five adjustment points on that factor. Those that were above the 50th percentile but below the 75th got 3.75 points. Those that were above the 25th percentile but below the 50th percentile got 2.5 adjustment points. And those that were below the 25th percentile got 1.25 adjustment points.</w:t>
      </w:r>
    </w:p>
    <w:p w14:paraId="33793D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Now, let's review an example of a </w:t>
      </w:r>
      <w:proofErr w:type="gramStart"/>
      <w:r>
        <w:rPr>
          <w:rFonts w:ascii="Calibri" w:eastAsia="Calibri" w:hAnsi="Calibri" w:cs="Calibri"/>
          <w:color w:val="000000"/>
          <w:sz w:val="22"/>
        </w:rPr>
        <w:t>characteristics based</w:t>
      </w:r>
      <w:proofErr w:type="gramEnd"/>
      <w:r>
        <w:rPr>
          <w:rFonts w:ascii="Calibri" w:eastAsia="Calibri" w:hAnsi="Calibri" w:cs="Calibri"/>
          <w:color w:val="000000"/>
          <w:sz w:val="22"/>
        </w:rPr>
        <w:t xml:space="preserve"> adjustment. In the chart are characteristics that the Statistical Adjustment Model has determined to have a statistically significant effect on the employment outcomes of SCSEP participants. The down arrows indicate that characteristics correspond to lower employment rates or median earnings. If a grantee was more than one standard deviation above the nationwide average on any of these factors, then they had points deducted from their goal lower in the threshold.</w:t>
      </w:r>
    </w:p>
    <w:p w14:paraId="4D3DF16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Those characteristics with up arrows indicate that if a grantee was more than one standard deviation above the nationwide average on those factors, they had points added to their goal, increasing the threshold. That's why we say that these are bidirectional adjustments. And now I'll turn it back over to Ali.</w:t>
      </w:r>
    </w:p>
    <w:p w14:paraId="5C63B55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 Slaughter:</w:t>
      </w:r>
    </w:p>
    <w:p w14:paraId="782FD2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Ron. Now that we have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data sources defined, let's review how the Grant Performance Assessment is processed and calculated. First, the final performance data is calculated after the end of each program year through the QPR. Then the SAM is </w:t>
      </w:r>
      <w:proofErr w:type="gramStart"/>
      <w:r>
        <w:rPr>
          <w:rFonts w:ascii="Calibri" w:eastAsia="Calibri" w:hAnsi="Calibri" w:cs="Calibri"/>
          <w:color w:val="000000"/>
          <w:sz w:val="22"/>
        </w:rPr>
        <w:t>refreshed</w:t>
      </w:r>
      <w:proofErr w:type="gramEnd"/>
      <w:r>
        <w:rPr>
          <w:rFonts w:ascii="Calibri" w:eastAsia="Calibri" w:hAnsi="Calibri" w:cs="Calibri"/>
          <w:color w:val="000000"/>
          <w:sz w:val="22"/>
        </w:rPr>
        <w:t xml:space="preserve"> and adjustments are applied to negotiated employment-based goals. Then the </w:t>
      </w:r>
      <w:proofErr w:type="gramStart"/>
      <w:r>
        <w:rPr>
          <w:rFonts w:ascii="Calibri" w:eastAsia="Calibri" w:hAnsi="Calibri" w:cs="Calibri"/>
          <w:color w:val="000000"/>
          <w:sz w:val="22"/>
        </w:rPr>
        <w:t>percent</w:t>
      </w:r>
      <w:proofErr w:type="gramEnd"/>
      <w:r>
        <w:rPr>
          <w:rFonts w:ascii="Calibri" w:eastAsia="Calibri" w:hAnsi="Calibri" w:cs="Calibri"/>
          <w:color w:val="000000"/>
          <w:sz w:val="22"/>
        </w:rPr>
        <w:t xml:space="preserve"> achieved of each core measure is calculated. To get this figure, actual performance is divided by the adjusted performance goal.</w:t>
      </w:r>
    </w:p>
    <w:p w14:paraId="5DB0E5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example, let's say a grant's employment </w:t>
      </w:r>
      <w:proofErr w:type="gramStart"/>
      <w:r>
        <w:rPr>
          <w:rFonts w:ascii="Calibri" w:eastAsia="Calibri" w:hAnsi="Calibri" w:cs="Calibri"/>
          <w:color w:val="000000"/>
          <w:sz w:val="22"/>
        </w:rPr>
        <w:t>rate</w:t>
      </w:r>
      <w:proofErr w:type="gramEnd"/>
      <w:r>
        <w:rPr>
          <w:rFonts w:ascii="Calibri" w:eastAsia="Calibri" w:hAnsi="Calibri" w:cs="Calibri"/>
          <w:color w:val="000000"/>
          <w:sz w:val="22"/>
        </w:rPr>
        <w:t xml:space="preserve"> second quarter is 34.3% after adjustment, and the actual performance for the measure is 31.9%. 31.9% divided by 34.3% is 93%. After the </w:t>
      </w:r>
      <w:proofErr w:type="gramStart"/>
      <w:r>
        <w:rPr>
          <w:rFonts w:ascii="Calibri" w:eastAsia="Calibri" w:hAnsi="Calibri" w:cs="Calibri"/>
          <w:color w:val="000000"/>
          <w:sz w:val="22"/>
        </w:rPr>
        <w:t>percent</w:t>
      </w:r>
      <w:proofErr w:type="gramEnd"/>
      <w:r>
        <w:rPr>
          <w:rFonts w:ascii="Calibri" w:eastAsia="Calibri" w:hAnsi="Calibri" w:cs="Calibri"/>
          <w:color w:val="000000"/>
          <w:sz w:val="22"/>
        </w:rPr>
        <w:t xml:space="preserve"> achieved is calculated for each measure, the aggregate </w:t>
      </w:r>
      <w:proofErr w:type="gramStart"/>
      <w:r>
        <w:rPr>
          <w:rFonts w:ascii="Calibri" w:eastAsia="Calibri" w:hAnsi="Calibri" w:cs="Calibri"/>
          <w:color w:val="000000"/>
          <w:sz w:val="22"/>
        </w:rPr>
        <w:t>percent</w:t>
      </w:r>
      <w:proofErr w:type="gramEnd"/>
      <w:r>
        <w:rPr>
          <w:rFonts w:ascii="Calibri" w:eastAsia="Calibri" w:hAnsi="Calibri" w:cs="Calibri"/>
          <w:color w:val="000000"/>
          <w:sz w:val="22"/>
        </w:rPr>
        <w:t xml:space="preserve"> of the goal achieved is calculated. Here is an example. If the </w:t>
      </w:r>
      <w:proofErr w:type="gramStart"/>
      <w:r>
        <w:rPr>
          <w:rFonts w:ascii="Calibri" w:eastAsia="Calibri" w:hAnsi="Calibri" w:cs="Calibri"/>
          <w:color w:val="000000"/>
          <w:sz w:val="22"/>
        </w:rPr>
        <w:t>percent</w:t>
      </w:r>
      <w:proofErr w:type="gramEnd"/>
      <w:r>
        <w:rPr>
          <w:rFonts w:ascii="Calibri" w:eastAsia="Calibri" w:hAnsi="Calibri" w:cs="Calibri"/>
          <w:color w:val="000000"/>
          <w:sz w:val="22"/>
        </w:rPr>
        <w:t xml:space="preserve"> achieved for each measure is 93%, 106.5%, 85.9%, 111.5%, 89.3%, 105.9% </w:t>
      </w:r>
      <w:r>
        <w:rPr>
          <w:rFonts w:ascii="Calibri" w:eastAsia="Calibri" w:hAnsi="Calibri" w:cs="Calibri"/>
          <w:color w:val="000000"/>
          <w:sz w:val="22"/>
        </w:rPr>
        <w:lastRenderedPageBreak/>
        <w:t>and 98.4%, define the average, add them all up and divide by seven to get 100.07% or rounded to a 100.1%. This reads the grant achieved 100.1% in the aggregate of negotiated performance goals.</w:t>
      </w:r>
    </w:p>
    <w:p w14:paraId="6655A6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Next, we'll discuss how to read the Grant Performance Assessment, how the determinations of exceeding, meeting and failing are defined and the statutory implications of failing to meet expected levels of performance. Now that the Grant Performance Assessment has been calculated, how do you read the results? The top section of the GPA summarizes the results of the evaluation. You will see data on the core measures at the nationwide level, as well as broken down by state and national grantees. There is a legend for the percent of aggregate goal achieved and a summary of how many grantees exceeded, met and failed performance, how many grantees failed each measure and the number of grantees who achieved above the nationwide average for each measure.</w:t>
      </w:r>
    </w:p>
    <w:p w14:paraId="7EE809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second section breaks down performance at the grant level. To find the aggregate and individual measure data for your grant, scroll down to find your grantee. The column directly next to the grantee name is the aggregate percent of goal achieved color-coded green, yellow or red, to correspond to having exceeded, met or failed performance. Following the grantee name horizontally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three columns for each core measure representing the actual performance in the measure, the measure goal and the percent of goal achieved derived from actual performance divided by a goal.</w:t>
      </w:r>
    </w:p>
    <w:p w14:paraId="26CDA8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Grants are considered to have exceeded expected levels of performance if their aggregate of </w:t>
      </w:r>
      <w:proofErr w:type="gramStart"/>
      <w:r>
        <w:rPr>
          <w:rFonts w:ascii="Calibri" w:eastAsia="Calibri" w:hAnsi="Calibri" w:cs="Calibri"/>
          <w:color w:val="000000"/>
          <w:sz w:val="22"/>
        </w:rPr>
        <w:t>percent</w:t>
      </w:r>
      <w:proofErr w:type="gramEnd"/>
      <w:r>
        <w:rPr>
          <w:rFonts w:ascii="Calibri" w:eastAsia="Calibri" w:hAnsi="Calibri" w:cs="Calibri"/>
          <w:color w:val="000000"/>
          <w:sz w:val="22"/>
        </w:rPr>
        <w:t xml:space="preserve"> achieved is 100% and above. Aggregate performance in the range of 80 to 99% is considered to have met the expected levels of performance and performance below 80% is considered to have failed to meet expected levels of performance. Grants who achieve less than 80% in the aggregate must submit a corrective action plan, or CAP, detailing one, the reasons the performance was not met for each measure that achieved less than 80%, two, steps they will take to meet the expected levels of performance in the subsequent program years, and three, any assistance needed. The CAP will </w:t>
      </w:r>
      <w:proofErr w:type="gramStart"/>
      <w:r>
        <w:rPr>
          <w:rFonts w:ascii="Calibri" w:eastAsia="Calibri" w:hAnsi="Calibri" w:cs="Calibri"/>
          <w:color w:val="000000"/>
          <w:sz w:val="22"/>
        </w:rPr>
        <w:t>inform</w:t>
      </w:r>
      <w:proofErr w:type="gramEnd"/>
      <w:r>
        <w:rPr>
          <w:rFonts w:ascii="Calibri" w:eastAsia="Calibri" w:hAnsi="Calibri" w:cs="Calibri"/>
          <w:color w:val="000000"/>
          <w:sz w:val="22"/>
        </w:rPr>
        <w:t xml:space="preserve"> the types of compliance assistance that the department will provide to grantees to assist in meeting expected levels of performance.</w:t>
      </w:r>
    </w:p>
    <w:p w14:paraId="3AC0C0F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CFR 6410.740 describes the consequences </w:t>
      </w:r>
      <w:proofErr w:type="gramStart"/>
      <w:r>
        <w:rPr>
          <w:rFonts w:ascii="Calibri" w:eastAsia="Calibri" w:hAnsi="Calibri" w:cs="Calibri"/>
          <w:color w:val="000000"/>
          <w:sz w:val="22"/>
        </w:rPr>
        <w:t>for</w:t>
      </w:r>
      <w:proofErr w:type="gramEnd"/>
      <w:r>
        <w:rPr>
          <w:rFonts w:ascii="Calibri" w:eastAsia="Calibri" w:hAnsi="Calibri" w:cs="Calibri"/>
          <w:color w:val="000000"/>
          <w:sz w:val="22"/>
        </w:rPr>
        <w:t xml:space="preserve"> failing to meet agreed upon levels of performance. "Any national grantee that has failed to meet expected levels of performance for four consecutive years will not be allowed to compete in the next grant competition." </w:t>
      </w:r>
      <w:proofErr w:type="gramStart"/>
      <w:r>
        <w:rPr>
          <w:rFonts w:ascii="Calibri" w:eastAsia="Calibri" w:hAnsi="Calibri" w:cs="Calibri"/>
          <w:color w:val="000000"/>
          <w:sz w:val="22"/>
        </w:rPr>
        <w:t>And,</w:t>
      </w:r>
      <w:proofErr w:type="gramEnd"/>
      <w:r>
        <w:rPr>
          <w:rFonts w:ascii="Calibri" w:eastAsia="Calibri" w:hAnsi="Calibri" w:cs="Calibri"/>
          <w:color w:val="000000"/>
          <w:sz w:val="22"/>
        </w:rPr>
        <w:t xml:space="preserve"> "Any state grantee that fails to meet the expected levels of performance for three consecutive years will be required to compete to award the funds allotted to the state for the first full program year following the third failure."</w:t>
      </w:r>
    </w:p>
    <w:p w14:paraId="0FB895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Let's walk through available resources in connection </w:t>
      </w:r>
      <w:proofErr w:type="gramStart"/>
      <w:r>
        <w:rPr>
          <w:rFonts w:ascii="Calibri" w:eastAsia="Calibri" w:hAnsi="Calibri" w:cs="Calibri"/>
          <w:color w:val="000000"/>
          <w:sz w:val="22"/>
        </w:rPr>
        <w:t>to</w:t>
      </w:r>
      <w:proofErr w:type="gramEnd"/>
      <w:r>
        <w:rPr>
          <w:rFonts w:ascii="Calibri" w:eastAsia="Calibri" w:hAnsi="Calibri" w:cs="Calibri"/>
          <w:color w:val="000000"/>
          <w:sz w:val="22"/>
        </w:rPr>
        <w:t xml:space="preserve"> the Grant Performance Assessment. For additional information and resources, please visit the Community of Practice. Publicly available SCSEP performance data is also available on the DOL website, and as always, if you have any questions, please reach out to your federal project officer for support. Thank you, Ron, for your great insight and thank you all for </w:t>
      </w:r>
      <w:proofErr w:type="gramStart"/>
      <w:r>
        <w:rPr>
          <w:rFonts w:ascii="Calibri" w:eastAsia="Calibri" w:hAnsi="Calibri" w:cs="Calibri"/>
          <w:color w:val="000000"/>
          <w:sz w:val="22"/>
        </w:rPr>
        <w:t>watching</w:t>
      </w:r>
      <w:proofErr w:type="gramEnd"/>
      <w:r>
        <w:rPr>
          <w:rFonts w:ascii="Calibri" w:eastAsia="Calibri" w:hAnsi="Calibri" w:cs="Calibri"/>
          <w:color w:val="000000"/>
          <w:sz w:val="22"/>
        </w:rPr>
        <w:t>.</w:t>
      </w:r>
    </w:p>
    <w:p w14:paraId="374C6FC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Dr. Ron Schack:</w:t>
      </w:r>
    </w:p>
    <w:p w14:paraId="0A68C6B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Ali.</w:t>
      </w:r>
    </w:p>
    <w:p w14:paraId="709C0E67" w14:textId="77777777" w:rsidR="00A77B3E" w:rsidRDefault="00A77B3E">
      <w:pPr>
        <w:spacing w:before="80"/>
        <w:rPr>
          <w:rFonts w:ascii="Calibri" w:eastAsia="Calibri" w:hAnsi="Calibri" w:cs="Calibri"/>
          <w:color w:val="000000"/>
          <w:sz w:val="22"/>
        </w:rPr>
      </w:pPr>
    </w:p>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DA9DF" w14:textId="77777777" w:rsidR="00852FC2" w:rsidRDefault="00852FC2">
      <w:r>
        <w:separator/>
      </w:r>
    </w:p>
  </w:endnote>
  <w:endnote w:type="continuationSeparator" w:id="0">
    <w:p w14:paraId="6F4AA3AD" w14:textId="77777777" w:rsidR="00852FC2" w:rsidRDefault="0085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A5B8" w14:textId="77777777" w:rsidR="00CF3B0E" w:rsidRDefault="00CF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1D629B" w14:paraId="26AEDF4E" w14:textId="77777777">
      <w:tc>
        <w:tcPr>
          <w:tcW w:w="4000" w:type="pct"/>
          <w:tcBorders>
            <w:top w:val="nil"/>
            <w:left w:val="nil"/>
            <w:bottom w:val="nil"/>
            <w:right w:val="nil"/>
          </w:tcBorders>
          <w:noWrap/>
        </w:tcPr>
        <w:p w14:paraId="42F73056" w14:textId="432946A6" w:rsidR="001D629B" w:rsidRDefault="001D629B"/>
      </w:tc>
      <w:tc>
        <w:tcPr>
          <w:tcW w:w="1000" w:type="pct"/>
          <w:tcBorders>
            <w:top w:val="nil"/>
            <w:left w:val="nil"/>
            <w:bottom w:val="nil"/>
            <w:right w:val="nil"/>
          </w:tcBorders>
          <w:noWrap/>
        </w:tcPr>
        <w:p w14:paraId="20062464" w14:textId="77777777" w:rsidR="001D629B" w:rsidRDefault="00000000">
          <w:pPr>
            <w:jc w:val="right"/>
          </w:pPr>
          <w:r>
            <w:t xml:space="preserve">Page </w:t>
          </w:r>
          <w:r>
            <w:fldChar w:fldCharType="begin"/>
          </w:r>
          <w:r>
            <w:instrText>PAGE</w:instrText>
          </w:r>
          <w:r>
            <w:fldChar w:fldCharType="separate"/>
          </w:r>
          <w:r w:rsidR="00CF3B0E">
            <w:rPr>
              <w:noProof/>
            </w:rPr>
            <w:t>1</w:t>
          </w:r>
          <w:r>
            <w:fldChar w:fldCharType="end"/>
          </w:r>
          <w:r>
            <w:t xml:space="preserve"> of </w:t>
          </w:r>
          <w:r>
            <w:fldChar w:fldCharType="begin"/>
          </w:r>
          <w:r>
            <w:instrText>NUMPAGES</w:instrText>
          </w:r>
          <w:r>
            <w:fldChar w:fldCharType="separate"/>
          </w:r>
          <w:r w:rsidR="00CF3B0E">
            <w:rPr>
              <w:noProof/>
            </w:rPr>
            <w:t>2</w:t>
          </w:r>
          <w:r>
            <w:fldChar w:fldCharType="end"/>
          </w:r>
        </w:p>
      </w:tc>
    </w:tr>
  </w:tbl>
  <w:p w14:paraId="1DB9780C" w14:textId="77777777" w:rsidR="001D629B" w:rsidRDefault="001D62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A77D1" w14:textId="77777777" w:rsidR="00CF3B0E" w:rsidRDefault="00CF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DFB09" w14:textId="77777777" w:rsidR="00852FC2" w:rsidRDefault="00852FC2">
      <w:r>
        <w:separator/>
      </w:r>
    </w:p>
  </w:footnote>
  <w:footnote w:type="continuationSeparator" w:id="0">
    <w:p w14:paraId="3E54B2A6" w14:textId="77777777" w:rsidR="00852FC2" w:rsidRDefault="00852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0648" w14:textId="77777777" w:rsidR="00CF3B0E" w:rsidRDefault="00CF3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1D629B" w14:paraId="311DB5A4" w14:textId="77777777">
      <w:tc>
        <w:tcPr>
          <w:tcW w:w="5000" w:type="pct"/>
          <w:tcBorders>
            <w:top w:val="nil"/>
            <w:left w:val="nil"/>
            <w:bottom w:val="nil"/>
            <w:right w:val="nil"/>
          </w:tcBorders>
          <w:noWrap/>
        </w:tcPr>
        <w:p w14:paraId="0590A95E" w14:textId="20DC6C09" w:rsidR="001D629B" w:rsidRDefault="00CF3B0E">
          <w:pPr>
            <w:rPr>
              <w:color w:val="0000FF"/>
              <w:u w:val="single"/>
            </w:rPr>
          </w:pPr>
          <w:r>
            <w:rPr>
              <w:color w:val="808080"/>
            </w:rPr>
            <w:t>Senior Community Service Employment Program (SCSEP) Grant Performance</w:t>
          </w:r>
        </w:p>
        <w:p w14:paraId="19BE35AC" w14:textId="77777777" w:rsidR="001D629B" w:rsidRDefault="001D629B">
          <w:pPr>
            <w:rPr>
              <w:color w:val="000000"/>
            </w:rPr>
          </w:pPr>
        </w:p>
      </w:tc>
    </w:tr>
    <w:tr w:rsidR="00CF3B0E" w14:paraId="19707F5B" w14:textId="77777777">
      <w:tc>
        <w:tcPr>
          <w:tcW w:w="5000" w:type="pct"/>
          <w:tcBorders>
            <w:top w:val="nil"/>
            <w:left w:val="nil"/>
            <w:bottom w:val="nil"/>
            <w:right w:val="nil"/>
          </w:tcBorders>
          <w:noWrap/>
        </w:tcPr>
        <w:p w14:paraId="7D1B3FEE" w14:textId="60735A2D" w:rsidR="00CF3B0E" w:rsidRDefault="00CF3B0E">
          <w:pPr>
            <w:rPr>
              <w:color w:val="808080"/>
            </w:rPr>
          </w:pPr>
          <w:r>
            <w:rPr>
              <w:color w:val="808080"/>
            </w:rPr>
            <w:t>4-21-2025</w:t>
          </w:r>
        </w:p>
      </w:tc>
    </w:tr>
  </w:tbl>
  <w:p w14:paraId="5BCE2A38" w14:textId="77777777" w:rsidR="001D629B" w:rsidRDefault="001D62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F460" w14:textId="77777777" w:rsidR="00CF3B0E" w:rsidRDefault="00CF3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D629B"/>
    <w:rsid w:val="00371896"/>
    <w:rsid w:val="0041133D"/>
    <w:rsid w:val="00852FC2"/>
    <w:rsid w:val="00A24EEE"/>
    <w:rsid w:val="00A77B3E"/>
    <w:rsid w:val="00CA2A55"/>
    <w:rsid w:val="00CF3B0E"/>
    <w:rsid w:val="00ED3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34D40"/>
  <w15:docId w15:val="{4FF7C55B-B921-4181-8C08-EA020B38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F3B0E"/>
    <w:pPr>
      <w:tabs>
        <w:tab w:val="center" w:pos="4680"/>
        <w:tab w:val="right" w:pos="9360"/>
      </w:tabs>
    </w:pPr>
  </w:style>
  <w:style w:type="character" w:customStyle="1" w:styleId="HeaderChar">
    <w:name w:val="Header Char"/>
    <w:basedOn w:val="DefaultParagraphFont"/>
    <w:link w:val="Header"/>
    <w:rsid w:val="00CF3B0E"/>
    <w:rPr>
      <w:sz w:val="24"/>
      <w:szCs w:val="24"/>
    </w:rPr>
  </w:style>
  <w:style w:type="paragraph" w:styleId="Footer">
    <w:name w:val="footer"/>
    <w:basedOn w:val="Normal"/>
    <w:link w:val="FooterChar"/>
    <w:rsid w:val="00CF3B0E"/>
    <w:pPr>
      <w:tabs>
        <w:tab w:val="center" w:pos="4680"/>
        <w:tab w:val="right" w:pos="9360"/>
      </w:tabs>
    </w:pPr>
  </w:style>
  <w:style w:type="character" w:customStyle="1" w:styleId="FooterChar">
    <w:name w:val="Footer Char"/>
    <w:basedOn w:val="DefaultParagraphFont"/>
    <w:link w:val="Footer"/>
    <w:rsid w:val="00CF3B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1695</Words>
  <Characters>9189</Characters>
  <Application>Microsoft Office Word</Application>
  <DocSecurity>0</DocSecurity>
  <Lines>122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Crystal Sewell</cp:lastModifiedBy>
  <cp:revision>2</cp:revision>
  <dcterms:created xsi:type="dcterms:W3CDTF">2025-04-29T19:38:00Z</dcterms:created>
  <dcterms:modified xsi:type="dcterms:W3CDTF">2025-04-29T19:38:00Z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1b570159-7795-4422-bde6-c3fbc4a2531d</vt:lpwstr>
  </property>
</Properties>
</file>